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57E" w:rsidRDefault="0020657E" w:rsidP="0020657E">
      <w:pPr>
        <w:shd w:val="clear" w:color="auto" w:fill="FFFFFF"/>
        <w:tabs>
          <w:tab w:val="left" w:pos="1701"/>
        </w:tabs>
        <w:spacing w:line="288" w:lineRule="atLeast"/>
        <w:jc w:val="center"/>
        <w:textAlignment w:val="baseline"/>
        <w:outlineLvl w:val="1"/>
        <w:rPr>
          <w:rFonts w:ascii="Minion Pro" w:eastAsia="Times New Roman" w:hAnsi="Minion Pro" w:cs="Times New Roman"/>
          <w:b/>
          <w:bCs/>
          <w:color w:val="3F7FC3"/>
          <w:sz w:val="33"/>
          <w:szCs w:val="33"/>
          <w:lang w:eastAsia="hr-HR"/>
        </w:rPr>
      </w:pPr>
      <w:r w:rsidRPr="0020657E">
        <w:rPr>
          <w:rFonts w:ascii="Minion Pro" w:eastAsia="Times New Roman" w:hAnsi="Minion Pro" w:cs="Times New Roman"/>
          <w:b/>
          <w:bCs/>
          <w:color w:val="3F7FC3"/>
          <w:sz w:val="33"/>
          <w:szCs w:val="33"/>
          <w:lang w:eastAsia="hr-HR"/>
        </w:rPr>
        <w:t>Kodeks savjetovanja sa zainteresiranom javnošću u postupcima donošenja zakona, drugih propisa i akata</w:t>
      </w:r>
      <w:r>
        <w:rPr>
          <w:rFonts w:ascii="Minion Pro" w:eastAsia="Times New Roman" w:hAnsi="Minion Pro" w:cs="Times New Roman"/>
          <w:b/>
          <w:bCs/>
          <w:color w:val="3F7FC3"/>
          <w:sz w:val="33"/>
          <w:szCs w:val="33"/>
          <w:lang w:eastAsia="hr-HR"/>
        </w:rPr>
        <w:t xml:space="preserve"> </w:t>
      </w:r>
    </w:p>
    <w:p w:rsidR="0020657E" w:rsidRDefault="0020657E" w:rsidP="0020657E">
      <w:pPr>
        <w:shd w:val="clear" w:color="auto" w:fill="FFFFFF"/>
        <w:tabs>
          <w:tab w:val="left" w:pos="1701"/>
        </w:tabs>
        <w:spacing w:line="288" w:lineRule="atLeast"/>
        <w:jc w:val="center"/>
        <w:textAlignment w:val="baseline"/>
        <w:outlineLvl w:val="1"/>
        <w:rPr>
          <w:rFonts w:ascii="Minion Pro" w:eastAsia="Times New Roman" w:hAnsi="Minion Pro" w:cs="Times New Roman"/>
          <w:b/>
          <w:bCs/>
          <w:color w:val="3F7FC3"/>
          <w:sz w:val="33"/>
          <w:szCs w:val="33"/>
          <w:lang w:eastAsia="hr-HR"/>
        </w:rPr>
      </w:pPr>
      <w:r>
        <w:rPr>
          <w:rFonts w:ascii="Minion Pro" w:eastAsia="Times New Roman" w:hAnsi="Minion Pro" w:cs="Times New Roman"/>
          <w:b/>
          <w:bCs/>
          <w:color w:val="3F7FC3"/>
          <w:sz w:val="33"/>
          <w:szCs w:val="33"/>
          <w:lang w:eastAsia="hr-HR"/>
        </w:rPr>
        <w:t>(NN, broj:140 /09. OD 25. studenog 2009.)</w:t>
      </w:r>
    </w:p>
    <w:p w:rsidR="0020657E" w:rsidRPr="0020657E" w:rsidRDefault="0020657E" w:rsidP="0020657E">
      <w:pPr>
        <w:shd w:val="clear" w:color="auto" w:fill="FFFFFF"/>
        <w:tabs>
          <w:tab w:val="left" w:pos="1701"/>
        </w:tabs>
        <w:spacing w:line="288" w:lineRule="atLeast"/>
        <w:jc w:val="center"/>
        <w:textAlignment w:val="baseline"/>
        <w:outlineLvl w:val="1"/>
        <w:rPr>
          <w:rFonts w:ascii="Minion Pro" w:eastAsia="Times New Roman" w:hAnsi="Minion Pro" w:cs="Times New Roman"/>
          <w:b/>
          <w:bCs/>
          <w:color w:val="3F7FC3"/>
          <w:sz w:val="33"/>
          <w:szCs w:val="33"/>
          <w:lang w:eastAsia="hr-HR"/>
        </w:rPr>
      </w:pPr>
    </w:p>
    <w:p w:rsidR="0020657E" w:rsidRPr="0020657E" w:rsidRDefault="0020657E" w:rsidP="0020657E">
      <w:pPr>
        <w:spacing w:after="225" w:line="240" w:lineRule="auto"/>
        <w:jc w:val="center"/>
        <w:textAlignment w:val="baseline"/>
        <w:rPr>
          <w:rFonts w:ascii="Minion Pro" w:eastAsia="Times New Roman" w:hAnsi="Minion Pro" w:cs="Times New Roman"/>
          <w:b/>
          <w:bCs/>
          <w:color w:val="000000"/>
          <w:sz w:val="40"/>
          <w:szCs w:val="40"/>
          <w:lang w:eastAsia="hr-HR"/>
        </w:rPr>
      </w:pPr>
      <w:r w:rsidRPr="0020657E">
        <w:rPr>
          <w:rFonts w:ascii="Minion Pro" w:eastAsia="Times New Roman" w:hAnsi="Minion Pro" w:cs="Times New Roman"/>
          <w:b/>
          <w:bCs/>
          <w:color w:val="000000"/>
          <w:sz w:val="40"/>
          <w:szCs w:val="40"/>
          <w:lang w:eastAsia="hr-HR"/>
        </w:rPr>
        <w:t>VLADA REPUBLIKE HRVATSKE</w:t>
      </w:r>
    </w:p>
    <w:p w:rsidR="0020657E" w:rsidRPr="0020657E" w:rsidRDefault="0020657E" w:rsidP="0020657E">
      <w:pPr>
        <w:spacing w:after="225" w:line="240" w:lineRule="auto"/>
        <w:jc w:val="right"/>
        <w:textAlignment w:val="baseline"/>
        <w:rPr>
          <w:rFonts w:ascii="Minion Pro" w:eastAsia="Times New Roman" w:hAnsi="Minion Pro" w:cs="Times New Roman"/>
          <w:b/>
          <w:bCs/>
          <w:color w:val="000000"/>
          <w:sz w:val="26"/>
          <w:szCs w:val="26"/>
          <w:lang w:eastAsia="hr-HR"/>
        </w:rPr>
      </w:pPr>
      <w:r w:rsidRPr="0020657E">
        <w:rPr>
          <w:rFonts w:ascii="Minion Pro" w:eastAsia="Times New Roman" w:hAnsi="Minion Pro" w:cs="Times New Roman"/>
          <w:b/>
          <w:bCs/>
          <w:color w:val="000000"/>
          <w:sz w:val="26"/>
          <w:szCs w:val="26"/>
          <w:lang w:eastAsia="hr-HR"/>
        </w:rPr>
        <w:t>3402</w:t>
      </w:r>
    </w:p>
    <w:p w:rsidR="0020657E" w:rsidRPr="0020657E" w:rsidRDefault="0020657E" w:rsidP="0020657E">
      <w:pPr>
        <w:spacing w:after="225"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Na temelju članka 30. stavka 3. Zakona o Vladi Republike Hrvatske (»Narodne novine«, br. 101/98, 15/2000, 117/2001, 199/2003, 30/2004 i 77/2009), Vlada Republike Hrvatske je na sjednici održanoj 21. studenoga 2009. godine donijela</w:t>
      </w:r>
    </w:p>
    <w:p w:rsidR="0020657E" w:rsidRPr="0020657E" w:rsidRDefault="0020657E" w:rsidP="0020657E">
      <w:pPr>
        <w:spacing w:after="225" w:line="240" w:lineRule="auto"/>
        <w:jc w:val="center"/>
        <w:textAlignment w:val="baseline"/>
        <w:rPr>
          <w:rFonts w:ascii="Minion Pro" w:eastAsia="Times New Roman" w:hAnsi="Minion Pro" w:cs="Times New Roman"/>
          <w:b/>
          <w:bCs/>
          <w:color w:val="000000"/>
          <w:sz w:val="28"/>
          <w:szCs w:val="28"/>
          <w:lang w:eastAsia="hr-HR"/>
        </w:rPr>
      </w:pPr>
      <w:r w:rsidRPr="0020657E">
        <w:rPr>
          <w:rFonts w:ascii="Minion Pro" w:eastAsia="Times New Roman" w:hAnsi="Minion Pro" w:cs="Times New Roman"/>
          <w:b/>
          <w:bCs/>
          <w:color w:val="000000"/>
          <w:sz w:val="28"/>
          <w:szCs w:val="28"/>
          <w:lang w:eastAsia="hr-HR"/>
        </w:rPr>
        <w:t>ZAKLJUČAK</w:t>
      </w:r>
    </w:p>
    <w:p w:rsidR="0020657E" w:rsidRPr="0020657E" w:rsidRDefault="0020657E" w:rsidP="0020657E">
      <w:pPr>
        <w:spacing w:after="225"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1. Prihvaća se Kodeks savjetovanja sa zainteresiranom javnošću u postupcima donošenja zakona, drugih propisa i akata, u tekstu koji je sastavni dio ovog Zaključka.</w:t>
      </w:r>
    </w:p>
    <w:p w:rsidR="0020657E" w:rsidRPr="0020657E" w:rsidRDefault="0020657E" w:rsidP="0020657E">
      <w:pPr>
        <w:spacing w:after="225"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2. Ovaj Zaključak i Kodeks savjetovanja sa zainteresiranom javnošću u postupcima donošenja zakona, drugih propisa i akata, objavit će se u »Narodnim novinama«.</w:t>
      </w:r>
    </w:p>
    <w:p w:rsidR="0020657E" w:rsidRPr="0020657E" w:rsidRDefault="0020657E" w:rsidP="0020657E">
      <w:pPr>
        <w:spacing w:after="225"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Klasa: 011-02/09-01/02</w:t>
      </w:r>
    </w:p>
    <w:p w:rsidR="0020657E" w:rsidRPr="0020657E" w:rsidRDefault="0020657E" w:rsidP="0020657E">
      <w:pPr>
        <w:spacing w:after="225" w:line="240" w:lineRule="auto"/>
        <w:jc w:val="both"/>
        <w:textAlignment w:val="baseline"/>
        <w:rPr>
          <w:rFonts w:ascii="Minion Pro" w:eastAsia="Times New Roman" w:hAnsi="Minion Pro" w:cs="Times New Roman"/>
          <w:color w:val="000000"/>
          <w:sz w:val="24"/>
          <w:szCs w:val="24"/>
          <w:lang w:eastAsia="hr-HR"/>
        </w:rPr>
      </w:pPr>
      <w:proofErr w:type="spellStart"/>
      <w:r w:rsidRPr="0020657E">
        <w:rPr>
          <w:rFonts w:ascii="Minion Pro" w:eastAsia="Times New Roman" w:hAnsi="Minion Pro" w:cs="Times New Roman"/>
          <w:color w:val="000000"/>
          <w:sz w:val="24"/>
          <w:szCs w:val="24"/>
          <w:lang w:eastAsia="hr-HR"/>
        </w:rPr>
        <w:t>Urbroj</w:t>
      </w:r>
      <w:proofErr w:type="spellEnd"/>
      <w:r w:rsidRPr="0020657E">
        <w:rPr>
          <w:rFonts w:ascii="Minion Pro" w:eastAsia="Times New Roman" w:hAnsi="Minion Pro" w:cs="Times New Roman"/>
          <w:color w:val="000000"/>
          <w:sz w:val="24"/>
          <w:szCs w:val="24"/>
          <w:lang w:eastAsia="hr-HR"/>
        </w:rPr>
        <w:t>: 5030104-09-1</w:t>
      </w:r>
    </w:p>
    <w:p w:rsidR="0020657E" w:rsidRPr="0020657E" w:rsidRDefault="0020657E" w:rsidP="0020657E">
      <w:pPr>
        <w:spacing w:after="225"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Zagreb, 21. studenoga 2009.</w:t>
      </w:r>
    </w:p>
    <w:p w:rsidR="0020657E" w:rsidRPr="0020657E" w:rsidRDefault="0020657E" w:rsidP="0020657E">
      <w:pPr>
        <w:spacing w:after="0" w:line="240" w:lineRule="auto"/>
        <w:ind w:left="6464"/>
        <w:jc w:val="center"/>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Predsjednica</w:t>
      </w:r>
      <w:r w:rsidRPr="0020657E">
        <w:rPr>
          <w:rFonts w:ascii="Minion Pro" w:eastAsia="Times New Roman" w:hAnsi="Minion Pro" w:cs="Times New Roman"/>
          <w:color w:val="000000"/>
          <w:sz w:val="24"/>
          <w:szCs w:val="24"/>
          <w:lang w:eastAsia="hr-HR"/>
        </w:rPr>
        <w:br/>
      </w:r>
      <w:r w:rsidRPr="0020657E">
        <w:rPr>
          <w:rFonts w:ascii="Minion Pro" w:eastAsia="Times New Roman" w:hAnsi="Minion Pro" w:cs="Times New Roman"/>
          <w:b/>
          <w:bCs/>
          <w:color w:val="000000"/>
          <w:sz w:val="24"/>
          <w:szCs w:val="24"/>
          <w:bdr w:val="none" w:sz="0" w:space="0" w:color="auto" w:frame="1"/>
          <w:lang w:eastAsia="hr-HR"/>
        </w:rPr>
        <w:t>Jadranka Kosor, dipl. iur.</w:t>
      </w:r>
      <w:r w:rsidRPr="0020657E">
        <w:rPr>
          <w:rFonts w:ascii="Minion Pro" w:eastAsia="Times New Roman" w:hAnsi="Minion Pro" w:cs="Times New Roman"/>
          <w:color w:val="000000"/>
          <w:sz w:val="24"/>
          <w:szCs w:val="24"/>
          <w:lang w:eastAsia="hr-HR"/>
        </w:rPr>
        <w:t>, v. r.</w:t>
      </w:r>
    </w:p>
    <w:p w:rsidR="0020657E" w:rsidRPr="0020657E" w:rsidRDefault="0020657E" w:rsidP="0020657E">
      <w:pPr>
        <w:spacing w:after="225" w:line="240" w:lineRule="auto"/>
        <w:jc w:val="center"/>
        <w:textAlignment w:val="baseline"/>
        <w:rPr>
          <w:rFonts w:ascii="Minion Pro" w:eastAsia="Times New Roman" w:hAnsi="Minion Pro" w:cs="Times New Roman"/>
          <w:color w:val="000000"/>
          <w:sz w:val="28"/>
          <w:szCs w:val="28"/>
          <w:lang w:eastAsia="hr-HR"/>
        </w:rPr>
      </w:pPr>
      <w:r w:rsidRPr="0020657E">
        <w:rPr>
          <w:rFonts w:ascii="Minion Pro" w:eastAsia="Times New Roman" w:hAnsi="Minion Pro" w:cs="Times New Roman"/>
          <w:color w:val="000000"/>
          <w:sz w:val="28"/>
          <w:szCs w:val="28"/>
          <w:lang w:eastAsia="hr-HR"/>
        </w:rPr>
        <w:t>KODEKS</w:t>
      </w:r>
      <w:r w:rsidRPr="0020657E">
        <w:rPr>
          <w:rFonts w:ascii="Minion Pro" w:eastAsia="Times New Roman" w:hAnsi="Minion Pro" w:cs="Times New Roman"/>
          <w:color w:val="000000"/>
          <w:sz w:val="28"/>
          <w:szCs w:val="28"/>
          <w:lang w:eastAsia="hr-HR"/>
        </w:rPr>
        <w:br/>
        <w:t>SAVJETOVANJA SA ZAINTERESIRANOM JAVNOŠĆU U POSTUPCIMA DONOŠENJA ZAKONA, DRUGIH PROPISA I AKATA</w:t>
      </w:r>
    </w:p>
    <w:p w:rsidR="0020657E" w:rsidRPr="0020657E" w:rsidRDefault="0020657E" w:rsidP="0020657E">
      <w:pPr>
        <w:spacing w:after="225" w:line="240" w:lineRule="auto"/>
        <w:jc w:val="center"/>
        <w:textAlignment w:val="baseline"/>
        <w:rPr>
          <w:rFonts w:ascii="Minion Pro" w:eastAsia="Times New Roman" w:hAnsi="Minion Pro" w:cs="Times New Roman"/>
          <w:color w:val="000000"/>
          <w:sz w:val="28"/>
          <w:szCs w:val="28"/>
          <w:lang w:eastAsia="hr-HR"/>
        </w:rPr>
      </w:pPr>
      <w:r w:rsidRPr="0020657E">
        <w:rPr>
          <w:rFonts w:ascii="Minion Pro" w:eastAsia="Times New Roman" w:hAnsi="Minion Pro" w:cs="Times New Roman"/>
          <w:color w:val="000000"/>
          <w:sz w:val="28"/>
          <w:szCs w:val="28"/>
          <w:lang w:eastAsia="hr-HR"/>
        </w:rPr>
        <w:t>UVOD</w:t>
      </w:r>
    </w:p>
    <w:p w:rsidR="0020657E" w:rsidRPr="0020657E" w:rsidRDefault="0020657E" w:rsidP="0020657E">
      <w:pPr>
        <w:spacing w:after="225" w:line="240" w:lineRule="auto"/>
        <w:jc w:val="center"/>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I.</w:t>
      </w:r>
    </w:p>
    <w:p w:rsidR="0020657E" w:rsidRPr="0020657E" w:rsidRDefault="0020657E" w:rsidP="0020657E">
      <w:pPr>
        <w:spacing w:after="225"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Jedno od temeljnih obilježja suvremenih demokracija jest razvijeno civilno društvo koje se, između ostalog, ostvaruje u otvorenom dijalogu, suradnji, pa i partnerstvu građana, organizacija civilnoga društva, odnosno općenito zainteresirane javnosti s javnim i državnim institucijama. Prihvaćanje takve aktivne uloge građana, otvorenosti i javnosti kao temeljnih vrijednosti znači i spremnost državnih i javnih institucija na poduzimanje djelotvornih mjera savjetovanja sa zainteresiranom javnošću u postupcima donošenja zakona, drugih propisa i akata.</w:t>
      </w:r>
    </w:p>
    <w:p w:rsidR="0020657E" w:rsidRPr="0020657E" w:rsidRDefault="0020657E" w:rsidP="0020657E">
      <w:pPr>
        <w:spacing w:after="225"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 xml:space="preserve">Donošenje Kodeksa savjetovanja sa zainteresiranom javnošću u postupcima donošenja i provedbe zakona, drugih propisa i akata (u daljnjem tekstu: Kodeks), objedinjuje zaključke proizašle iz širokog savjetovanja koje je Ured za udruge u suradnji sa Savjetom za razvoj civilnoga društva proveo s organizacijama civilnoga društva o ciljevima i sadržaju akta koji će </w:t>
      </w:r>
      <w:r w:rsidRPr="0020657E">
        <w:rPr>
          <w:rFonts w:ascii="Minion Pro" w:eastAsia="Times New Roman" w:hAnsi="Minion Pro" w:cs="Times New Roman"/>
          <w:color w:val="000000"/>
          <w:sz w:val="24"/>
          <w:szCs w:val="24"/>
          <w:lang w:eastAsia="hr-HR"/>
        </w:rPr>
        <w:lastRenderedPageBreak/>
        <w:t>pružiti smjernice za učinkovito savjetovanje državnih tijela i zainteresirane javnosti u postupku donošenja zakona i drugih akata, kao i postojeće dobre prakse savjetovanja koju već provode pojedina tijela državne uprave.</w:t>
      </w:r>
    </w:p>
    <w:p w:rsidR="0020657E" w:rsidRPr="0020657E" w:rsidRDefault="0020657E" w:rsidP="0020657E">
      <w:pPr>
        <w:spacing w:after="225" w:line="240" w:lineRule="auto"/>
        <w:jc w:val="center"/>
        <w:textAlignment w:val="baseline"/>
        <w:rPr>
          <w:rFonts w:ascii="Minion Pro" w:eastAsia="Times New Roman" w:hAnsi="Minion Pro" w:cs="Times New Roman"/>
          <w:color w:val="000000"/>
          <w:sz w:val="28"/>
          <w:szCs w:val="28"/>
          <w:lang w:eastAsia="hr-HR"/>
        </w:rPr>
      </w:pPr>
      <w:r w:rsidRPr="0020657E">
        <w:rPr>
          <w:rFonts w:ascii="Minion Pro" w:eastAsia="Times New Roman" w:hAnsi="Minion Pro" w:cs="Times New Roman"/>
          <w:color w:val="000000"/>
          <w:sz w:val="28"/>
          <w:szCs w:val="28"/>
          <w:lang w:eastAsia="hr-HR"/>
        </w:rPr>
        <w:t>CILJEVI I STATUS KODEKSA</w:t>
      </w:r>
    </w:p>
    <w:p w:rsidR="0020657E" w:rsidRPr="0020657E" w:rsidRDefault="0020657E" w:rsidP="0020657E">
      <w:pPr>
        <w:spacing w:after="225" w:line="240" w:lineRule="auto"/>
        <w:jc w:val="center"/>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II.</w:t>
      </w:r>
    </w:p>
    <w:p w:rsidR="0020657E" w:rsidRPr="0020657E" w:rsidRDefault="0020657E" w:rsidP="0020657E">
      <w:pPr>
        <w:spacing w:after="225"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Kodeksom se utvrđuju opća načela, standardi i mjere za savjetovanje sa zainteresiranom javnošću u postupcima donošenja zakona, drugih propisa i akata državnih tijela, kojima se uređuju pitanja i zauzimaju stavovi od interesa za opću dobrobit (zaštita i promicanje ljudskih prava, javne službe, pravosuđe, zaštita okoliša i drugo).</w:t>
      </w:r>
    </w:p>
    <w:p w:rsidR="0020657E" w:rsidRPr="0020657E" w:rsidRDefault="0020657E" w:rsidP="0020657E">
      <w:pPr>
        <w:spacing w:after="225"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Svrha je Kodeksa svim tijelima uključenima u proces donošenja zakona i propisa pružiti smjernice koje proistječu iz dosadašnjih konkretnih praktičnih iskustava dijaloga i suradnje tijela javne vlasti u Republici Hrvatskoj i zainteresirane javnosti. Krajnji je cilj Kodeksa olakšati interakciju s građanima i predstavnicima zainteresirane javnosti u demokratskom procesu, te potaknuti aktivnije sudjelovanje građana u javnom životu.</w:t>
      </w:r>
    </w:p>
    <w:p w:rsidR="0020657E" w:rsidRPr="0020657E" w:rsidRDefault="0020657E" w:rsidP="0020657E">
      <w:pPr>
        <w:spacing w:after="225"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Kodeks ne dovodi u pitanje primjenu naprednijih i već precizno uređenih standarda i mjera zaštite prava javnosti i zainteresirane javnosti u vezi s pravom sudjelovanja u postupcima donošenja zakona, drugih propisa i akata (npr. međunarodni ugovori i zakoni u području zaštite okoliša). Opća načela i minimalni standardi i mjere utvrđeni ovim Kodeksom ne odnose se na već institucionalizirane i strukturirane oblike savjetovanja s predstavnicima zainteresirane javnosti u okviru stalnih savjetodavnih tijela, niti na već precizno utvrđeni djelokrug rada i postupak savjetovanja s predstavnicima sindikata i Hrvatske udruge poslodavaca u okviru nacionalnog tripartitnog tijela i Gospodarsko-socijalnog vijeća, odnosno na lokalnoj razini u okviru aktivnosti županijskih gospodarsko-socijalnih vijeća.</w:t>
      </w:r>
    </w:p>
    <w:p w:rsidR="0020657E" w:rsidRPr="0020657E" w:rsidRDefault="0020657E" w:rsidP="0020657E">
      <w:pPr>
        <w:spacing w:after="225" w:line="240" w:lineRule="auto"/>
        <w:jc w:val="center"/>
        <w:textAlignment w:val="baseline"/>
        <w:rPr>
          <w:rFonts w:ascii="Minion Pro" w:eastAsia="Times New Roman" w:hAnsi="Minion Pro" w:cs="Times New Roman"/>
          <w:color w:val="000000"/>
          <w:sz w:val="28"/>
          <w:szCs w:val="28"/>
          <w:lang w:eastAsia="hr-HR"/>
        </w:rPr>
      </w:pPr>
      <w:r w:rsidRPr="0020657E">
        <w:rPr>
          <w:rFonts w:ascii="Minion Pro" w:eastAsia="Times New Roman" w:hAnsi="Minion Pro" w:cs="Times New Roman"/>
          <w:color w:val="000000"/>
          <w:sz w:val="28"/>
          <w:szCs w:val="28"/>
          <w:lang w:eastAsia="hr-HR"/>
        </w:rPr>
        <w:t>DEFINICIJE</w:t>
      </w:r>
    </w:p>
    <w:p w:rsidR="0020657E" w:rsidRPr="0020657E" w:rsidRDefault="0020657E" w:rsidP="0020657E">
      <w:pPr>
        <w:spacing w:after="225" w:line="240" w:lineRule="auto"/>
        <w:jc w:val="center"/>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III.</w:t>
      </w:r>
    </w:p>
    <w:p w:rsidR="0020657E" w:rsidRPr="0020657E" w:rsidRDefault="0020657E" w:rsidP="0020657E">
      <w:pPr>
        <w:spacing w:after="0"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Savjetovanje, u smislu ovoga Kodeksa, uklapa se u širi koncept sudjelovanja zainteresirane javnosti u postupcima odlučivanja. </w:t>
      </w:r>
      <w:r w:rsidRPr="0020657E">
        <w:rPr>
          <w:rFonts w:ascii="Minion Pro" w:eastAsia="Times New Roman" w:hAnsi="Minion Pro" w:cs="Times New Roman"/>
          <w:i/>
          <w:iCs/>
          <w:color w:val="000000"/>
          <w:sz w:val="24"/>
          <w:szCs w:val="24"/>
          <w:bdr w:val="none" w:sz="0" w:space="0" w:color="auto" w:frame="1"/>
          <w:lang w:eastAsia="hr-HR"/>
        </w:rPr>
        <w:t>Sudjelovanje zainteresirane javnosti,</w:t>
      </w:r>
      <w:r w:rsidRPr="0020657E">
        <w:rPr>
          <w:rFonts w:ascii="Minion Pro" w:eastAsia="Times New Roman" w:hAnsi="Minion Pro" w:cs="Times New Roman"/>
          <w:color w:val="000000"/>
          <w:sz w:val="24"/>
          <w:szCs w:val="24"/>
          <w:lang w:eastAsia="hr-HR"/>
        </w:rPr>
        <w:t> u smislu ovog Kodeksa, obuhvaća četiri stupnja:</w:t>
      </w:r>
    </w:p>
    <w:p w:rsidR="0020657E" w:rsidRPr="0020657E" w:rsidRDefault="0020657E" w:rsidP="0020657E">
      <w:pPr>
        <w:spacing w:after="0"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 </w:t>
      </w:r>
      <w:r w:rsidRPr="0020657E">
        <w:rPr>
          <w:rFonts w:ascii="Minion Pro" w:eastAsia="Times New Roman" w:hAnsi="Minion Pro" w:cs="Times New Roman"/>
          <w:i/>
          <w:iCs/>
          <w:color w:val="000000"/>
          <w:sz w:val="24"/>
          <w:szCs w:val="24"/>
          <w:bdr w:val="none" w:sz="0" w:space="0" w:color="auto" w:frame="1"/>
          <w:lang w:eastAsia="hr-HR"/>
        </w:rPr>
        <w:t>Informiranje</w:t>
      </w:r>
      <w:r w:rsidRPr="0020657E">
        <w:rPr>
          <w:rFonts w:ascii="Minion Pro" w:eastAsia="Times New Roman" w:hAnsi="Minion Pro" w:cs="Times New Roman"/>
          <w:color w:val="000000"/>
          <w:sz w:val="24"/>
          <w:szCs w:val="24"/>
          <w:lang w:eastAsia="hr-HR"/>
        </w:rPr>
        <w:t> je prvi stupanj sudjelovanja zainteresirane javnosti koji razumijeva jednosmjeran proces, što znači da državna tijela informiraju građane prema svojem nahođenju ili građani dolaze do informacija na vlastitu inicijativu; za primjer toga odnosa navodi se pristup javnim aktima, službenim glasilima (»Narodnim novinama«) i internetskim stranicama državnih tijela.</w:t>
      </w:r>
    </w:p>
    <w:p w:rsidR="0020657E" w:rsidRPr="0020657E" w:rsidRDefault="0020657E" w:rsidP="0020657E">
      <w:pPr>
        <w:spacing w:after="0"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 </w:t>
      </w:r>
      <w:r w:rsidRPr="0020657E">
        <w:rPr>
          <w:rFonts w:ascii="Minion Pro" w:eastAsia="Times New Roman" w:hAnsi="Minion Pro" w:cs="Times New Roman"/>
          <w:i/>
          <w:iCs/>
          <w:color w:val="000000"/>
          <w:sz w:val="24"/>
          <w:szCs w:val="24"/>
          <w:bdr w:val="none" w:sz="0" w:space="0" w:color="auto" w:frame="1"/>
          <w:lang w:eastAsia="hr-HR"/>
        </w:rPr>
        <w:t>Savjetovanje</w:t>
      </w:r>
      <w:r w:rsidRPr="0020657E">
        <w:rPr>
          <w:rFonts w:ascii="Minion Pro" w:eastAsia="Times New Roman" w:hAnsi="Minion Pro" w:cs="Times New Roman"/>
          <w:color w:val="000000"/>
          <w:sz w:val="24"/>
          <w:szCs w:val="24"/>
          <w:lang w:eastAsia="hr-HR"/>
        </w:rPr>
        <w:t>, u smislu ovoga Kodeksa, dvosmjerni je proces tijekom kojeg državna tijela traže i primaju povratne informacije od građana, odnosno zainteresirane javnosti u postupku donošenja zakona, drugih propisa i akata.</w:t>
      </w:r>
    </w:p>
    <w:p w:rsidR="0020657E" w:rsidRPr="0020657E" w:rsidRDefault="0020657E" w:rsidP="0020657E">
      <w:pPr>
        <w:spacing w:after="0"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 </w:t>
      </w:r>
      <w:r w:rsidRPr="0020657E">
        <w:rPr>
          <w:rFonts w:ascii="Minion Pro" w:eastAsia="Times New Roman" w:hAnsi="Minion Pro" w:cs="Times New Roman"/>
          <w:i/>
          <w:iCs/>
          <w:color w:val="000000"/>
          <w:sz w:val="24"/>
          <w:szCs w:val="24"/>
          <w:bdr w:val="none" w:sz="0" w:space="0" w:color="auto" w:frame="1"/>
          <w:lang w:eastAsia="hr-HR"/>
        </w:rPr>
        <w:t>Uključivanje</w:t>
      </w:r>
      <w:r w:rsidRPr="0020657E">
        <w:rPr>
          <w:rFonts w:ascii="Minion Pro" w:eastAsia="Times New Roman" w:hAnsi="Minion Pro" w:cs="Times New Roman"/>
          <w:color w:val="000000"/>
          <w:sz w:val="24"/>
          <w:szCs w:val="24"/>
          <w:lang w:eastAsia="hr-HR"/>
        </w:rPr>
        <w:t> razumijeva viši stupanj dvosmjernog procesa putem kojega su predstavnici zainteresirane javnosti aktivno uključeni u utvrđivanje javne politike, primjerice kroz članstvo u radnim skupinama za izradu zakona, drugog propisa ili akta.</w:t>
      </w:r>
    </w:p>
    <w:p w:rsidR="0020657E" w:rsidRPr="0020657E" w:rsidRDefault="0020657E" w:rsidP="0020657E">
      <w:pPr>
        <w:spacing w:after="0"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 </w:t>
      </w:r>
      <w:r w:rsidRPr="0020657E">
        <w:rPr>
          <w:rFonts w:ascii="Minion Pro" w:eastAsia="Times New Roman" w:hAnsi="Minion Pro" w:cs="Times New Roman"/>
          <w:i/>
          <w:iCs/>
          <w:color w:val="000000"/>
          <w:sz w:val="24"/>
          <w:szCs w:val="24"/>
          <w:bdr w:val="none" w:sz="0" w:space="0" w:color="auto" w:frame="1"/>
          <w:lang w:eastAsia="hr-HR"/>
        </w:rPr>
        <w:t>Partnerstvo</w:t>
      </w:r>
      <w:r w:rsidRPr="0020657E">
        <w:rPr>
          <w:rFonts w:ascii="Minion Pro" w:eastAsia="Times New Roman" w:hAnsi="Minion Pro" w:cs="Times New Roman"/>
          <w:color w:val="000000"/>
          <w:sz w:val="24"/>
          <w:szCs w:val="24"/>
          <w:lang w:eastAsia="hr-HR"/>
        </w:rPr>
        <w:t> pretpostavlja najviši stupanj suradnje i uzajamne odgovornosti Vlade i predstavnika zainteresirane javnosti za proces donošenja i provedbe programa, zakona, drugih propisa i akata.</w:t>
      </w:r>
    </w:p>
    <w:p w:rsidR="0020657E" w:rsidRPr="0020657E" w:rsidRDefault="0020657E" w:rsidP="0020657E">
      <w:pPr>
        <w:spacing w:after="0" w:line="240" w:lineRule="auto"/>
        <w:jc w:val="both"/>
        <w:textAlignment w:val="baseline"/>
        <w:rPr>
          <w:rFonts w:ascii="Minion Pro" w:eastAsia="Times New Roman" w:hAnsi="Minion Pro" w:cs="Times New Roman"/>
          <w:color w:val="FF0000"/>
          <w:sz w:val="24"/>
          <w:szCs w:val="24"/>
          <w:lang w:eastAsia="hr-HR"/>
        </w:rPr>
      </w:pPr>
      <w:r w:rsidRPr="00083FD3">
        <w:rPr>
          <w:rFonts w:ascii="Minion Pro" w:eastAsia="Times New Roman" w:hAnsi="Minion Pro" w:cs="Times New Roman"/>
          <w:i/>
          <w:iCs/>
          <w:color w:val="FF0000"/>
          <w:sz w:val="24"/>
          <w:szCs w:val="24"/>
          <w:bdr w:val="none" w:sz="0" w:space="0" w:color="auto" w:frame="1"/>
          <w:lang w:eastAsia="hr-HR"/>
        </w:rPr>
        <w:lastRenderedPageBreak/>
        <w:t>Zainteresirana javnost</w:t>
      </w:r>
      <w:r w:rsidRPr="0020657E">
        <w:rPr>
          <w:rFonts w:ascii="Minion Pro" w:eastAsia="Times New Roman" w:hAnsi="Minion Pro" w:cs="Times New Roman"/>
          <w:color w:val="FF0000"/>
          <w:sz w:val="24"/>
          <w:szCs w:val="24"/>
          <w:lang w:eastAsia="hr-HR"/>
        </w:rPr>
        <w:t>, u smislu ovoga Kodeksa, su: građani, orga</w:t>
      </w:r>
      <w:bookmarkStart w:id="0" w:name="_GoBack"/>
      <w:bookmarkEnd w:id="0"/>
      <w:r w:rsidRPr="0020657E">
        <w:rPr>
          <w:rFonts w:ascii="Minion Pro" w:eastAsia="Times New Roman" w:hAnsi="Minion Pro" w:cs="Times New Roman"/>
          <w:color w:val="FF0000"/>
          <w:sz w:val="24"/>
          <w:szCs w:val="24"/>
          <w:lang w:eastAsia="hr-HR"/>
        </w:rPr>
        <w:t xml:space="preserve">nizacije civilnoga društva (neformalne građanske grupe ili inicijative, udruge, zaklade, </w:t>
      </w:r>
      <w:proofErr w:type="spellStart"/>
      <w:r w:rsidRPr="0020657E">
        <w:rPr>
          <w:rFonts w:ascii="Minion Pro" w:eastAsia="Times New Roman" w:hAnsi="Minion Pro" w:cs="Times New Roman"/>
          <w:color w:val="FF0000"/>
          <w:sz w:val="24"/>
          <w:szCs w:val="24"/>
          <w:lang w:eastAsia="hr-HR"/>
        </w:rPr>
        <w:t>fundacije</w:t>
      </w:r>
      <w:proofErr w:type="spellEnd"/>
      <w:r w:rsidRPr="0020657E">
        <w:rPr>
          <w:rFonts w:ascii="Minion Pro" w:eastAsia="Times New Roman" w:hAnsi="Minion Pro" w:cs="Times New Roman"/>
          <w:color w:val="FF0000"/>
          <w:sz w:val="24"/>
          <w:szCs w:val="24"/>
          <w:lang w:eastAsia="hr-HR"/>
        </w:rPr>
        <w:t>, privatne ustanove, sindikati, udruge poslodavaca), predstavnici akademske zajednice, komore, javne ustanove i druge pravne osobe koje obavljaju javnu službu ili na koje može utjecati zakon, drugi propis ili akt koji se donosi, odnosno koje će biti uključene u njegovu provedbu.</w:t>
      </w:r>
    </w:p>
    <w:p w:rsidR="00083FD3" w:rsidRDefault="00083FD3" w:rsidP="0020657E">
      <w:pPr>
        <w:spacing w:after="225" w:line="240" w:lineRule="auto"/>
        <w:jc w:val="center"/>
        <w:textAlignment w:val="baseline"/>
        <w:rPr>
          <w:rFonts w:ascii="Minion Pro" w:eastAsia="Times New Roman" w:hAnsi="Minion Pro" w:cs="Times New Roman"/>
          <w:color w:val="000000"/>
          <w:sz w:val="28"/>
          <w:szCs w:val="28"/>
          <w:lang w:eastAsia="hr-HR"/>
        </w:rPr>
      </w:pPr>
    </w:p>
    <w:p w:rsidR="0020657E" w:rsidRPr="0020657E" w:rsidRDefault="0020657E" w:rsidP="0020657E">
      <w:pPr>
        <w:spacing w:after="225" w:line="240" w:lineRule="auto"/>
        <w:jc w:val="center"/>
        <w:textAlignment w:val="baseline"/>
        <w:rPr>
          <w:rFonts w:ascii="Minion Pro" w:eastAsia="Times New Roman" w:hAnsi="Minion Pro" w:cs="Times New Roman"/>
          <w:color w:val="000000"/>
          <w:sz w:val="28"/>
          <w:szCs w:val="28"/>
          <w:lang w:eastAsia="hr-HR"/>
        </w:rPr>
      </w:pPr>
      <w:r w:rsidRPr="0020657E">
        <w:rPr>
          <w:rFonts w:ascii="Minion Pro" w:eastAsia="Times New Roman" w:hAnsi="Minion Pro" w:cs="Times New Roman"/>
          <w:color w:val="000000"/>
          <w:sz w:val="28"/>
          <w:szCs w:val="28"/>
          <w:lang w:eastAsia="hr-HR"/>
        </w:rPr>
        <w:t>OPĆA NAČELA SAVJETOVANJA</w:t>
      </w:r>
    </w:p>
    <w:p w:rsidR="0020657E" w:rsidRPr="0020657E" w:rsidRDefault="0020657E" w:rsidP="0020657E">
      <w:pPr>
        <w:spacing w:after="225" w:line="240" w:lineRule="auto"/>
        <w:jc w:val="center"/>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IV.</w:t>
      </w:r>
    </w:p>
    <w:p w:rsidR="0020657E" w:rsidRPr="0020657E" w:rsidRDefault="0020657E" w:rsidP="0020657E">
      <w:pPr>
        <w:spacing w:after="225"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SUDJELOVANJE</w:t>
      </w:r>
    </w:p>
    <w:p w:rsidR="0020657E" w:rsidRPr="0020657E" w:rsidRDefault="0020657E" w:rsidP="0020657E">
      <w:pPr>
        <w:spacing w:after="225"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Sudjelovanje građana, odnosno zainteresirane javnosti, jedno je od temeljnih načela europskog upravljanja javnim poslovima. U suvremenim demokracijama građani, odnosno zainteresirana javnost imaju aktivnu ulogu i svojim sudjelovanjem utječu na unaprjeđenje kvalitete programa, zakona, drugih propisa i akata, te općenito na kvalitetu usluga javne uprave.</w:t>
      </w:r>
    </w:p>
    <w:p w:rsidR="0020657E" w:rsidRPr="0020657E" w:rsidRDefault="0020657E" w:rsidP="0020657E">
      <w:pPr>
        <w:spacing w:after="225"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POVJERENJE</w:t>
      </w:r>
    </w:p>
    <w:p w:rsidR="0020657E" w:rsidRPr="0020657E" w:rsidRDefault="0020657E" w:rsidP="0020657E">
      <w:pPr>
        <w:spacing w:after="225"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Otvoreno i demokratsko društvo temelji se na stalnom dijalogu između građana, različitih društvenih skupina, dionika i sektora. Iako državna tijela i široki krug predstavnika zainteresirane javnosti imaju nerijetko različite uloge, zajednički cilj poboljšanja kvalitete života građana može se ostvariti samo na temelju uzajamnog povjerenja i uvažavanja.</w:t>
      </w:r>
    </w:p>
    <w:p w:rsidR="0020657E" w:rsidRPr="0020657E" w:rsidRDefault="0020657E" w:rsidP="0020657E">
      <w:pPr>
        <w:spacing w:after="225"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OTVORENOST I ODGOVORNOST</w:t>
      </w:r>
    </w:p>
    <w:p w:rsidR="0020657E" w:rsidRPr="0020657E" w:rsidRDefault="0020657E" w:rsidP="0020657E">
      <w:pPr>
        <w:spacing w:after="225"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Savjetovanje u postupcima donošenja zakona, drugih propisa i akata kojima se uređuju pitanja i zauzimaju stavovi od interesa za opću dobrobit iziskuje otvorenost i odgovornost, kako državnih tijela, tako i predstavnika zainteresirane javnosti. Državna tijela provode savjetovanje uz jasno pojašnjenje pitanja o kojima se traži povratna informacija zainteresirane javnosti, mjera koje se u postupku savjetovanju koriste, te razloga donošenja određenog zakona. Predstavnici zainteresirane javnosti, odnosno organizacije i skupine u svojem doprinosu postupku savjetovanja o nacrtima zakona, drugih propisa i akata otvoreno i odgovorno navode interese, odnosno kategorije i brojnost korisnika koje predstavljaju.</w:t>
      </w:r>
    </w:p>
    <w:p w:rsidR="0020657E" w:rsidRPr="0020657E" w:rsidRDefault="0020657E" w:rsidP="0020657E">
      <w:pPr>
        <w:spacing w:after="225"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DJELOTVORNOST</w:t>
      </w:r>
    </w:p>
    <w:p w:rsidR="0020657E" w:rsidRPr="0020657E" w:rsidRDefault="0020657E" w:rsidP="0020657E">
      <w:pPr>
        <w:spacing w:after="225"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Da bi bilo djelotvorno, savjetovanje sa zainteresiranom javnošću pokreće se u vrijeme kada još uvijek postoji mogućnost utjecaja na nacrte zakona, propisa i drugih akata, dakle u ranoj fazi njihove izrade kada su još sve opcije za njihovu doradu i promjenu otvorene. Postupak savjetovanja ujedno treba održati prihvatljivu ravnotežu između potrebe za djelotvornim donošenjem zakona, drugih propisa i akata i potrebe za odgovarajućim doprinosom predstavnika zainteresirane javnosti.</w:t>
      </w:r>
    </w:p>
    <w:p w:rsidR="0020657E" w:rsidRPr="0020657E" w:rsidRDefault="0020657E" w:rsidP="0020657E">
      <w:pPr>
        <w:spacing w:after="225" w:line="240" w:lineRule="auto"/>
        <w:jc w:val="center"/>
        <w:textAlignment w:val="baseline"/>
        <w:rPr>
          <w:rFonts w:ascii="Minion Pro" w:eastAsia="Times New Roman" w:hAnsi="Minion Pro" w:cs="Times New Roman"/>
          <w:color w:val="000000"/>
          <w:sz w:val="28"/>
          <w:szCs w:val="28"/>
          <w:lang w:eastAsia="hr-HR"/>
        </w:rPr>
      </w:pPr>
      <w:r w:rsidRPr="0020657E">
        <w:rPr>
          <w:rFonts w:ascii="Minion Pro" w:eastAsia="Times New Roman" w:hAnsi="Minion Pro" w:cs="Times New Roman"/>
          <w:color w:val="000000"/>
          <w:sz w:val="28"/>
          <w:szCs w:val="28"/>
          <w:lang w:eastAsia="hr-HR"/>
        </w:rPr>
        <w:t>STANDARDI I MJERE U POSTUPKU SAVJETOVANJA</w:t>
      </w:r>
    </w:p>
    <w:p w:rsidR="0020657E" w:rsidRPr="0020657E" w:rsidRDefault="0020657E" w:rsidP="0020657E">
      <w:pPr>
        <w:spacing w:after="225" w:line="240" w:lineRule="auto"/>
        <w:jc w:val="center"/>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V.</w:t>
      </w:r>
    </w:p>
    <w:p w:rsidR="0020657E" w:rsidRPr="0020657E" w:rsidRDefault="0020657E" w:rsidP="0020657E">
      <w:pPr>
        <w:spacing w:after="225"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 xml:space="preserve">Prilikom izrade nacrta prijedloga zakona, drugog propisa ili akta (rezolucije, deklaracije, strategije, programi i drugo) kojim se izražava politika Hrvatskoga sabora ili Vlade Republike </w:t>
      </w:r>
      <w:r w:rsidRPr="0020657E">
        <w:rPr>
          <w:rFonts w:ascii="Minion Pro" w:eastAsia="Times New Roman" w:hAnsi="Minion Pro" w:cs="Times New Roman"/>
          <w:color w:val="000000"/>
          <w:sz w:val="24"/>
          <w:szCs w:val="24"/>
          <w:lang w:eastAsia="hr-HR"/>
        </w:rPr>
        <w:lastRenderedPageBreak/>
        <w:t>Hrvatske, a čiji su nositelji središnja tijela državne uprave i uredi Vlade Republike Hrvatske, minimalni standardi i mjere za savjetovanje sa zainteresiranom javnošću jesu:</w:t>
      </w:r>
    </w:p>
    <w:p w:rsidR="0020657E" w:rsidRPr="0020657E" w:rsidRDefault="0020657E" w:rsidP="0020657E">
      <w:pPr>
        <w:spacing w:after="0"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i/>
          <w:iCs/>
          <w:color w:val="000000"/>
          <w:sz w:val="24"/>
          <w:szCs w:val="24"/>
          <w:bdr w:val="none" w:sz="0" w:space="0" w:color="auto" w:frame="1"/>
          <w:lang w:eastAsia="hr-HR"/>
        </w:rPr>
        <w:t>1. Pravodobno informiranje o planu donošenja zakona, drugih propisa i akata</w:t>
      </w:r>
    </w:p>
    <w:p w:rsidR="0020657E" w:rsidRPr="0020657E" w:rsidRDefault="0020657E" w:rsidP="0020657E">
      <w:pPr>
        <w:spacing w:after="225"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Zainteresirana javnost treba biti pravodobno informirana o planu donošenja zakona, drugih propisa i akata javnim objavljivanjem jedinstvenog popisa zakona i drugih propisa koji se izrađuju i predlažu za donošenje u kalendarskoj godini, uz navođenje nositelja izrade te okvirnog roka u kojem se zakon i/ili drugi propis ima izraditi i donijeti.</w:t>
      </w:r>
    </w:p>
    <w:p w:rsidR="0020657E" w:rsidRPr="0020657E" w:rsidRDefault="0020657E" w:rsidP="0020657E">
      <w:pPr>
        <w:spacing w:after="0"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i/>
          <w:iCs/>
          <w:color w:val="000000"/>
          <w:sz w:val="24"/>
          <w:szCs w:val="24"/>
          <w:bdr w:val="none" w:sz="0" w:space="0" w:color="auto" w:frame="1"/>
          <w:lang w:eastAsia="hr-HR"/>
        </w:rPr>
        <w:t>2. Dostupnost i jasnoća sadržaja postupka savjetovanja</w:t>
      </w:r>
    </w:p>
    <w:p w:rsidR="0020657E" w:rsidRPr="0020657E" w:rsidRDefault="0020657E" w:rsidP="0020657E">
      <w:pPr>
        <w:spacing w:after="225"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Tijela nadležna za izradu nacrta zakona, drugih propisa i akata javno objavljuju nacrte na internetskim stranicama ili na drugi odgovarajući način. Obavijesti i pozivi na savjetovanje o objavljenim nacrtima trebaju biti jasni i sažeti uz navođenje svih informacija potrebnih za lakše prikupljanje očitovanja zainteresirane javnosti.</w:t>
      </w:r>
    </w:p>
    <w:p w:rsidR="0020657E" w:rsidRPr="0020657E" w:rsidRDefault="0020657E" w:rsidP="0020657E">
      <w:pPr>
        <w:spacing w:after="0"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i/>
          <w:iCs/>
          <w:color w:val="000000"/>
          <w:sz w:val="24"/>
          <w:szCs w:val="24"/>
          <w:bdr w:val="none" w:sz="0" w:space="0" w:color="auto" w:frame="1"/>
          <w:lang w:eastAsia="hr-HR"/>
        </w:rPr>
        <w:t>3. Rok provedbe internetskog i drugih oblika savjetovanja</w:t>
      </w:r>
    </w:p>
    <w:p w:rsidR="0020657E" w:rsidRPr="0020657E" w:rsidRDefault="0020657E" w:rsidP="0020657E">
      <w:pPr>
        <w:spacing w:after="225"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Objava poziva na savjetovanje o nacrtima zakona, drugih propisa i akata treba sadržavati jasno naznačen rok za očitovanja zainteresirane javnosti za koji je poželjno da ne bude kraći od 15 dana od dana objave nacrta na internetskoj stranici tijela nadležnog za izradu nacrta, kako bi zainteresirana javnost imala dovoljno vremena za proučavanje predmetnog nacrta i oblikovanje svoga mišljenja.</w:t>
      </w:r>
    </w:p>
    <w:p w:rsidR="0020657E" w:rsidRPr="0020657E" w:rsidRDefault="0020657E" w:rsidP="0020657E">
      <w:pPr>
        <w:spacing w:after="0"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i/>
          <w:iCs/>
          <w:color w:val="000000"/>
          <w:sz w:val="24"/>
          <w:szCs w:val="24"/>
          <w:bdr w:val="none" w:sz="0" w:space="0" w:color="auto" w:frame="1"/>
          <w:lang w:eastAsia="hr-HR"/>
        </w:rPr>
        <w:t>4. Povratna informacija o učincima provedenog savjetovanja</w:t>
      </w:r>
    </w:p>
    <w:p w:rsidR="0020657E" w:rsidRPr="0020657E" w:rsidRDefault="0020657E" w:rsidP="0020657E">
      <w:pPr>
        <w:spacing w:after="225"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Očitovanja zainteresirane javnosti kao i sažeto objedinjeno obrazloženje neprihvaćenih primjedbi na određene odredbe nacrta javno se objavljuju na internetskoj stranici tijela nadležnog za njegovu izradu ili na drugi odgovarajući način, kako bi se vidio učinak savjetovanja u postupcima donošenja zakona, drugih propisa i akata.</w:t>
      </w:r>
    </w:p>
    <w:p w:rsidR="0020657E" w:rsidRPr="0020657E" w:rsidRDefault="0020657E" w:rsidP="0020657E">
      <w:pPr>
        <w:spacing w:after="0"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i/>
          <w:iCs/>
          <w:color w:val="000000"/>
          <w:sz w:val="24"/>
          <w:szCs w:val="24"/>
          <w:bdr w:val="none" w:sz="0" w:space="0" w:color="auto" w:frame="1"/>
          <w:lang w:eastAsia="hr-HR"/>
        </w:rPr>
        <w:t>5. Usklađenost primjene standarda i mjera savjetovanja u državnim tijelima</w:t>
      </w:r>
    </w:p>
    <w:p w:rsidR="0020657E" w:rsidRPr="0020657E" w:rsidRDefault="0020657E" w:rsidP="0020657E">
      <w:pPr>
        <w:spacing w:after="225"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Kako bi se osigurala usklađena primjena gore navedenih standarda i mjera u državnim tijelima, imenovat će se koordinatori za savjetovanje kao kontakt osobe u svim središnjim tijelima državne uprave, odnosno uredima Vlade zaduženima za izradu nacrta zakona, drugih propisa i akata, s ciljem dosljednog praćenja i koordinacije postupaka savjetovanja sa zainteresiranom javnošću.</w:t>
      </w:r>
    </w:p>
    <w:p w:rsidR="0020657E" w:rsidRPr="0020657E" w:rsidRDefault="0020657E" w:rsidP="0020657E">
      <w:pPr>
        <w:spacing w:after="225" w:line="240" w:lineRule="auto"/>
        <w:jc w:val="center"/>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VI.</w:t>
      </w:r>
    </w:p>
    <w:p w:rsidR="0020657E" w:rsidRPr="0020657E" w:rsidRDefault="0020657E" w:rsidP="0020657E">
      <w:pPr>
        <w:spacing w:after="225"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Prilikom izrade nacrta prijedloga zakona, drugog propisa ili akta, kao i prilikom praćenja njihove provedbe, postupak savjetovanja sa zainteresiranom javnošću može, u skladu s potrebama i raspoloživim sredstvima, obuhvatiti i:</w:t>
      </w:r>
    </w:p>
    <w:p w:rsidR="0020657E" w:rsidRPr="0020657E" w:rsidRDefault="0020657E" w:rsidP="0020657E">
      <w:pPr>
        <w:spacing w:after="0"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1. </w:t>
      </w:r>
      <w:r w:rsidRPr="0020657E">
        <w:rPr>
          <w:rFonts w:ascii="Minion Pro" w:eastAsia="Times New Roman" w:hAnsi="Minion Pro" w:cs="Times New Roman"/>
          <w:i/>
          <w:iCs/>
          <w:color w:val="000000"/>
          <w:sz w:val="24"/>
          <w:szCs w:val="24"/>
          <w:bdr w:val="none" w:sz="0" w:space="0" w:color="auto" w:frame="1"/>
          <w:lang w:eastAsia="hr-HR"/>
        </w:rPr>
        <w:t>uključivanje stručnjaka iz reda predstavnika zainteresirane javnosti u postupak izrade</w:t>
      </w:r>
      <w:r w:rsidRPr="0020657E">
        <w:rPr>
          <w:rFonts w:ascii="Minion Pro" w:eastAsia="Times New Roman" w:hAnsi="Minion Pro" w:cs="Times New Roman"/>
          <w:color w:val="000000"/>
          <w:sz w:val="24"/>
          <w:szCs w:val="24"/>
          <w:lang w:eastAsia="hr-HR"/>
        </w:rPr>
        <w:t> nacrta zakona, drugih propisa ili akata od strane tijela državne uprave, odnosno Vlade Republike Hrvatske. U postupku izrade nacrta, stručnjaci kao predstavnici zainteresirane javnosti mogu biti imenovani za članove stručnih radnih skupina sukladno važećim propisima ili na temelju javnog poziva, nastojeći osigurati zastupljenost interesnih skupina, te fizičkih i pravnih osoba na koje neposredno može utjecati zakon ili drugi propis koji se donosi, odnosno koje će biti uključene u njegovu provedbu. Prilikom imenovanja članova stručnih radnih skupina iz reda predstavnika zainteresirane javnosti treba voditi računa o kriterijima stručnosti, prethodnom javnom doprinosu predmetnoj problematici i drugim kvalifikacijama relevantnim za pitanja koja se uređuju zakonom ili drugim propisom ili utvrđuju aktom tijela državne uprave.</w:t>
      </w:r>
    </w:p>
    <w:p w:rsidR="0020657E" w:rsidRPr="0020657E" w:rsidRDefault="0020657E" w:rsidP="0020657E">
      <w:pPr>
        <w:spacing w:after="0"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i/>
          <w:iCs/>
          <w:color w:val="000000"/>
          <w:sz w:val="24"/>
          <w:szCs w:val="24"/>
          <w:bdr w:val="none" w:sz="0" w:space="0" w:color="auto" w:frame="1"/>
          <w:lang w:eastAsia="hr-HR"/>
        </w:rPr>
        <w:lastRenderedPageBreak/>
        <w:t>2. organiziranje javnih savjetovanja</w:t>
      </w:r>
      <w:r w:rsidRPr="0020657E">
        <w:rPr>
          <w:rFonts w:ascii="Minion Pro" w:eastAsia="Times New Roman" w:hAnsi="Minion Pro" w:cs="Times New Roman"/>
          <w:color w:val="000000"/>
          <w:sz w:val="24"/>
          <w:szCs w:val="24"/>
          <w:lang w:eastAsia="hr-HR"/>
        </w:rPr>
        <w:t> o financijskim, gospodarskim, socijalnim, okolišnim i ljudsko-pravnim učincima donošenja i provedbe određenih zakona, drugih propisa i akata.</w:t>
      </w:r>
    </w:p>
    <w:p w:rsidR="0020657E" w:rsidRDefault="0020657E" w:rsidP="0020657E">
      <w:pPr>
        <w:spacing w:after="225" w:line="240" w:lineRule="auto"/>
        <w:jc w:val="center"/>
        <w:textAlignment w:val="baseline"/>
        <w:rPr>
          <w:rFonts w:ascii="Minion Pro" w:eastAsia="Times New Roman" w:hAnsi="Minion Pro" w:cs="Times New Roman"/>
          <w:color w:val="000000"/>
          <w:sz w:val="24"/>
          <w:szCs w:val="24"/>
          <w:lang w:eastAsia="hr-HR"/>
        </w:rPr>
      </w:pPr>
    </w:p>
    <w:p w:rsidR="0020657E" w:rsidRPr="0020657E" w:rsidRDefault="0020657E" w:rsidP="0020657E">
      <w:pPr>
        <w:spacing w:after="225" w:line="240" w:lineRule="auto"/>
        <w:jc w:val="center"/>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VII.</w:t>
      </w:r>
    </w:p>
    <w:p w:rsidR="0020657E" w:rsidRPr="0020657E" w:rsidRDefault="0020657E" w:rsidP="0020657E">
      <w:pPr>
        <w:spacing w:after="225"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Tijela nadležna za izradu nacrta zakona, drugog propisa ili akta iz nadležnosti Vlade Republike Hrvatske informiraju Vladu o provedenom postupku savjetovanja sa zainteresiranom javnošću kao i o rezultatima savjetovanja.</w:t>
      </w:r>
    </w:p>
    <w:p w:rsidR="0020657E" w:rsidRDefault="0020657E" w:rsidP="0020657E">
      <w:pPr>
        <w:spacing w:after="225" w:line="240" w:lineRule="auto"/>
        <w:jc w:val="center"/>
        <w:textAlignment w:val="baseline"/>
        <w:rPr>
          <w:rFonts w:ascii="Minion Pro" w:eastAsia="Times New Roman" w:hAnsi="Minion Pro" w:cs="Times New Roman"/>
          <w:color w:val="000000"/>
          <w:sz w:val="24"/>
          <w:szCs w:val="24"/>
          <w:lang w:eastAsia="hr-HR"/>
        </w:rPr>
      </w:pPr>
    </w:p>
    <w:p w:rsidR="0020657E" w:rsidRPr="0020657E" w:rsidRDefault="0020657E" w:rsidP="0020657E">
      <w:pPr>
        <w:spacing w:after="225" w:line="240" w:lineRule="auto"/>
        <w:jc w:val="center"/>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VIII.</w:t>
      </w:r>
    </w:p>
    <w:p w:rsidR="0020657E" w:rsidRPr="0020657E" w:rsidRDefault="0020657E" w:rsidP="0020657E">
      <w:pPr>
        <w:spacing w:after="225"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U žurnim okolnostima, razdoblje i načini savjetovanja mogu se odgovarajuće prilagoditi. Ovo se posebno odnosi na okolnosti koje su vezane uz dinamiku ispunjavanja obveza koje proizlaze iz procesa pristupanja Republike Hrvatske Europskoj uniji.</w:t>
      </w:r>
    </w:p>
    <w:p w:rsidR="0020657E" w:rsidRPr="0020657E" w:rsidRDefault="0020657E" w:rsidP="0020657E">
      <w:pPr>
        <w:spacing w:after="225" w:line="240" w:lineRule="auto"/>
        <w:jc w:val="center"/>
        <w:textAlignment w:val="baseline"/>
        <w:rPr>
          <w:rFonts w:ascii="Minion Pro" w:eastAsia="Times New Roman" w:hAnsi="Minion Pro" w:cs="Times New Roman"/>
          <w:color w:val="000000"/>
          <w:sz w:val="28"/>
          <w:szCs w:val="28"/>
          <w:lang w:eastAsia="hr-HR"/>
        </w:rPr>
      </w:pPr>
      <w:r w:rsidRPr="0020657E">
        <w:rPr>
          <w:rFonts w:ascii="Minion Pro" w:eastAsia="Times New Roman" w:hAnsi="Minion Pro" w:cs="Times New Roman"/>
          <w:color w:val="000000"/>
          <w:sz w:val="28"/>
          <w:szCs w:val="28"/>
          <w:lang w:eastAsia="hr-HR"/>
        </w:rPr>
        <w:t>PRIMJENA KODEKSA NA LOKALNOJ I REGIONALNOJ RAZINI</w:t>
      </w:r>
    </w:p>
    <w:p w:rsidR="0020657E" w:rsidRPr="0020657E" w:rsidRDefault="0020657E" w:rsidP="0020657E">
      <w:pPr>
        <w:spacing w:after="225" w:line="240" w:lineRule="auto"/>
        <w:jc w:val="center"/>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IX.</w:t>
      </w:r>
    </w:p>
    <w:p w:rsidR="0020657E" w:rsidRPr="0020657E" w:rsidRDefault="0020657E" w:rsidP="0020657E">
      <w:pPr>
        <w:spacing w:after="225"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Odredbe ovoga Kodeksa odgovarajuće primjenjuju tijela jedinica lokalne i područne (regionalne) samouprave i pravne osobe koje imaju javne ovlasti u postupcima donošenja općih akata kojima uređuju pitanja iz svoga djelokruga, a kojima se neposredno ostvaruju potrebe građana ili druga pitanja od interesa za opću dobrobit građana i pravnih osoba na njihovu području, odnosno području njihove djelatnosti (uređenje naselja i stanovanja, prostorno planiranje, komunalna djelatnost i druge javne službe, zaštita okoliša, i drugo).</w:t>
      </w:r>
    </w:p>
    <w:p w:rsidR="0020657E" w:rsidRPr="0020657E" w:rsidRDefault="0020657E" w:rsidP="0020657E">
      <w:pPr>
        <w:spacing w:after="225" w:line="240" w:lineRule="auto"/>
        <w:jc w:val="center"/>
        <w:textAlignment w:val="baseline"/>
        <w:rPr>
          <w:rFonts w:ascii="Minion Pro" w:eastAsia="Times New Roman" w:hAnsi="Minion Pro" w:cs="Times New Roman"/>
          <w:color w:val="000000"/>
          <w:sz w:val="28"/>
          <w:szCs w:val="28"/>
          <w:lang w:eastAsia="hr-HR"/>
        </w:rPr>
      </w:pPr>
      <w:r w:rsidRPr="0020657E">
        <w:rPr>
          <w:rFonts w:ascii="Minion Pro" w:eastAsia="Times New Roman" w:hAnsi="Minion Pro" w:cs="Times New Roman"/>
          <w:color w:val="000000"/>
          <w:sz w:val="28"/>
          <w:szCs w:val="28"/>
          <w:lang w:eastAsia="hr-HR"/>
        </w:rPr>
        <w:t>ZAVRŠNE ODREDBE</w:t>
      </w:r>
    </w:p>
    <w:p w:rsidR="0020657E" w:rsidRPr="0020657E" w:rsidRDefault="0020657E" w:rsidP="0020657E">
      <w:pPr>
        <w:spacing w:after="225" w:line="240" w:lineRule="auto"/>
        <w:jc w:val="center"/>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X.</w:t>
      </w:r>
    </w:p>
    <w:p w:rsidR="0020657E" w:rsidRPr="0020657E" w:rsidRDefault="0020657E" w:rsidP="0020657E">
      <w:pPr>
        <w:spacing w:line="240" w:lineRule="auto"/>
        <w:jc w:val="both"/>
        <w:textAlignment w:val="baseline"/>
        <w:rPr>
          <w:rFonts w:ascii="Minion Pro" w:eastAsia="Times New Roman" w:hAnsi="Minion Pro" w:cs="Times New Roman"/>
          <w:color w:val="000000"/>
          <w:sz w:val="24"/>
          <w:szCs w:val="24"/>
          <w:lang w:eastAsia="hr-HR"/>
        </w:rPr>
      </w:pPr>
      <w:r w:rsidRPr="0020657E">
        <w:rPr>
          <w:rFonts w:ascii="Minion Pro" w:eastAsia="Times New Roman" w:hAnsi="Minion Pro" w:cs="Times New Roman"/>
          <w:color w:val="000000"/>
          <w:sz w:val="24"/>
          <w:szCs w:val="24"/>
          <w:lang w:eastAsia="hr-HR"/>
        </w:rPr>
        <w:t>Ured za udruge izradit će smjernice za primjenu Kodeksa i program sustavne edukacije koordinatora za savjetovanje iz točke V. Kodeksa, u roku od tri mjeseca od objave ovoga Kodeksa u »Narodnim novinama«.</w:t>
      </w:r>
    </w:p>
    <w:p w:rsidR="00CA1342" w:rsidRDefault="00CA1342"/>
    <w:sectPr w:rsidR="00CA13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57E"/>
    <w:rsid w:val="00083FD3"/>
    <w:rsid w:val="0020657E"/>
    <w:rsid w:val="00CA13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77DEB-17A8-4A9E-B5DA-5C9D86D9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link w:val="Naslov2Char"/>
    <w:uiPriority w:val="9"/>
    <w:qFormat/>
    <w:rsid w:val="0020657E"/>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20657E"/>
    <w:rPr>
      <w:rFonts w:ascii="Times New Roman" w:eastAsia="Times New Roman" w:hAnsi="Times New Roman" w:cs="Times New Roman"/>
      <w:b/>
      <w:bCs/>
      <w:sz w:val="36"/>
      <w:szCs w:val="36"/>
      <w:lang w:eastAsia="hr-HR"/>
    </w:rPr>
  </w:style>
  <w:style w:type="paragraph" w:customStyle="1" w:styleId="tb-na18">
    <w:name w:val="tb-na18"/>
    <w:basedOn w:val="Normal"/>
    <w:rsid w:val="0020657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20657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20657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20657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20657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20657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20657E"/>
  </w:style>
  <w:style w:type="paragraph" w:customStyle="1" w:styleId="t-12-9-sred">
    <w:name w:val="t-12-9-sred"/>
    <w:basedOn w:val="Normal"/>
    <w:rsid w:val="0020657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1-9-sred">
    <w:name w:val="t-11-9-sred"/>
    <w:basedOn w:val="Normal"/>
    <w:rsid w:val="0020657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20657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20657E"/>
  </w:style>
  <w:style w:type="paragraph" w:customStyle="1" w:styleId="clanak">
    <w:name w:val="clanak"/>
    <w:basedOn w:val="Normal"/>
    <w:rsid w:val="0020657E"/>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0278">
      <w:bodyDiv w:val="1"/>
      <w:marLeft w:val="0"/>
      <w:marRight w:val="0"/>
      <w:marTop w:val="0"/>
      <w:marBottom w:val="0"/>
      <w:divBdr>
        <w:top w:val="none" w:sz="0" w:space="0" w:color="auto"/>
        <w:left w:val="none" w:sz="0" w:space="0" w:color="auto"/>
        <w:bottom w:val="none" w:sz="0" w:space="0" w:color="auto"/>
        <w:right w:val="none" w:sz="0" w:space="0" w:color="auto"/>
      </w:divBdr>
      <w:divsChild>
        <w:div w:id="699283971">
          <w:marLeft w:val="0"/>
          <w:marRight w:val="0"/>
          <w:marTop w:val="0"/>
          <w:marBottom w:val="225"/>
          <w:divBdr>
            <w:top w:val="none" w:sz="0" w:space="15" w:color="auto"/>
            <w:left w:val="none" w:sz="0" w:space="0" w:color="auto"/>
            <w:bottom w:val="single" w:sz="6" w:space="0" w:color="E4E4E6"/>
            <w:right w:val="none" w:sz="0" w:space="0" w:color="auto"/>
          </w:divBdr>
        </w:div>
        <w:div w:id="469329784">
          <w:marLeft w:val="0"/>
          <w:marRight w:val="0"/>
          <w:marTop w:val="0"/>
          <w:marBottom w:val="0"/>
          <w:divBdr>
            <w:top w:val="single" w:sz="6" w:space="0" w:color="E4E4E6"/>
            <w:left w:val="none" w:sz="0" w:space="0" w:color="auto"/>
            <w:bottom w:val="none" w:sz="0" w:space="0" w:color="auto"/>
            <w:right w:val="none" w:sz="0" w:space="0" w:color="auto"/>
          </w:divBdr>
          <w:divsChild>
            <w:div w:id="261963678">
              <w:marLeft w:val="0"/>
              <w:marRight w:val="0"/>
              <w:marTop w:val="0"/>
              <w:marBottom w:val="0"/>
              <w:divBdr>
                <w:top w:val="single" w:sz="6" w:space="0" w:color="E4E4E6"/>
                <w:left w:val="none" w:sz="0" w:space="0" w:color="auto"/>
                <w:bottom w:val="none" w:sz="0" w:space="0" w:color="auto"/>
                <w:right w:val="none" w:sz="0" w:space="0" w:color="auto"/>
              </w:divBdr>
              <w:divsChild>
                <w:div w:id="589581891">
                  <w:marLeft w:val="0"/>
                  <w:marRight w:val="1500"/>
                  <w:marTop w:val="100"/>
                  <w:marBottom w:val="100"/>
                  <w:divBdr>
                    <w:top w:val="none" w:sz="0" w:space="0" w:color="auto"/>
                    <w:left w:val="none" w:sz="0" w:space="0" w:color="auto"/>
                    <w:bottom w:val="none" w:sz="0" w:space="0" w:color="auto"/>
                    <w:right w:val="none" w:sz="0" w:space="0" w:color="auto"/>
                  </w:divBdr>
                  <w:divsChild>
                    <w:div w:id="883370805">
                      <w:marLeft w:val="0"/>
                      <w:marRight w:val="0"/>
                      <w:marTop w:val="300"/>
                      <w:marBottom w:val="450"/>
                      <w:divBdr>
                        <w:top w:val="none" w:sz="0" w:space="0" w:color="auto"/>
                        <w:left w:val="none" w:sz="0" w:space="0" w:color="auto"/>
                        <w:bottom w:val="none" w:sz="0" w:space="0" w:color="auto"/>
                        <w:right w:val="none" w:sz="0" w:space="0" w:color="auto"/>
                      </w:divBdr>
                      <w:divsChild>
                        <w:div w:id="839463824">
                          <w:marLeft w:val="0"/>
                          <w:marRight w:val="0"/>
                          <w:marTop w:val="0"/>
                          <w:marBottom w:val="0"/>
                          <w:divBdr>
                            <w:top w:val="none" w:sz="0" w:space="0" w:color="auto"/>
                            <w:left w:val="none" w:sz="0" w:space="0" w:color="auto"/>
                            <w:bottom w:val="none" w:sz="0" w:space="0" w:color="auto"/>
                            <w:right w:val="none" w:sz="0" w:space="0" w:color="auto"/>
                          </w:divBdr>
                          <w:divsChild>
                            <w:div w:id="240331283">
                              <w:marLeft w:val="0"/>
                              <w:marRight w:val="0"/>
                              <w:marTop w:val="0"/>
                              <w:marBottom w:val="0"/>
                              <w:divBdr>
                                <w:top w:val="none" w:sz="0" w:space="0" w:color="auto"/>
                                <w:left w:val="none" w:sz="0" w:space="0" w:color="auto"/>
                                <w:bottom w:val="none" w:sz="0" w:space="0" w:color="auto"/>
                                <w:right w:val="none" w:sz="0" w:space="0" w:color="auto"/>
                              </w:divBdr>
                              <w:divsChild>
                                <w:div w:id="1117679721">
                                  <w:marLeft w:val="0"/>
                                  <w:marRight w:val="0"/>
                                  <w:marTop w:val="0"/>
                                  <w:marBottom w:val="0"/>
                                  <w:divBdr>
                                    <w:top w:val="none" w:sz="0" w:space="0" w:color="auto"/>
                                    <w:left w:val="none" w:sz="0" w:space="0" w:color="auto"/>
                                    <w:bottom w:val="none" w:sz="0" w:space="0" w:color="auto"/>
                                    <w:right w:val="none" w:sz="0" w:space="0" w:color="auto"/>
                                  </w:divBdr>
                                  <w:divsChild>
                                    <w:div w:id="70105445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1868</Words>
  <Characters>10652</Characters>
  <Application>Microsoft Office Word</Application>
  <DocSecurity>0</DocSecurity>
  <Lines>88</Lines>
  <Paragraphs>24</Paragraphs>
  <ScaleCrop>false</ScaleCrop>
  <Company/>
  <LinksUpToDate>false</LinksUpToDate>
  <CharactersWithSpaces>12496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Bilen</dc:creator>
  <cp:keywords/>
  <dc:description/>
  <cp:lastModifiedBy>Ljiljana Bilen</cp:lastModifiedBy>
  <cp:revision>2</cp:revision>
  <dcterms:created xsi:type="dcterms:W3CDTF">2018-03-30T08:27:00Z</dcterms:created>
  <dcterms:modified xsi:type="dcterms:W3CDTF">2018-03-30T08:36:00Z</dcterms:modified>
</cp:coreProperties>
</file>