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265"/>
      </w:tblGrid>
      <w:tr w:rsidR="00C57A84" w:rsidRPr="00DB5A6D" w:rsidTr="00DB5A6D">
        <w:tc>
          <w:tcPr>
            <w:tcW w:w="4928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DB5A6D">
              <w:rPr>
                <w:sz w:val="22"/>
                <w:szCs w:val="22"/>
              </w:rPr>
              <w:t>Naziv obveznika: Dječji vrtić Požega</w:t>
            </w:r>
          </w:p>
        </w:tc>
        <w:tc>
          <w:tcPr>
            <w:tcW w:w="4360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Broj RKP-a: 32738</w:t>
            </w:r>
          </w:p>
        </w:tc>
      </w:tr>
      <w:tr w:rsidR="00C57A84" w:rsidRPr="00DB5A6D" w:rsidTr="00DB5A6D">
        <w:tc>
          <w:tcPr>
            <w:tcW w:w="4928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Sjedište obveznika: 34000 Požega</w:t>
            </w:r>
          </w:p>
        </w:tc>
        <w:tc>
          <w:tcPr>
            <w:tcW w:w="4360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Matični broj: 03310299</w:t>
            </w:r>
          </w:p>
        </w:tc>
      </w:tr>
      <w:tr w:rsidR="00C57A84" w:rsidRPr="00DB5A6D" w:rsidTr="00DB5A6D">
        <w:tc>
          <w:tcPr>
            <w:tcW w:w="4928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Adresa sjedišta obveznika: Rudinska 8</w:t>
            </w:r>
          </w:p>
        </w:tc>
        <w:tc>
          <w:tcPr>
            <w:tcW w:w="4360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OIB: 30492723401</w:t>
            </w:r>
          </w:p>
        </w:tc>
      </w:tr>
      <w:tr w:rsidR="00C57A84" w:rsidRPr="00DB5A6D" w:rsidTr="00DB5A6D">
        <w:tc>
          <w:tcPr>
            <w:tcW w:w="4928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4360" w:type="dxa"/>
          </w:tcPr>
          <w:p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Šifra djelatnosti prema NKD-u: 8510</w:t>
            </w:r>
          </w:p>
        </w:tc>
      </w:tr>
    </w:tbl>
    <w:p w:rsidR="00987E65" w:rsidRDefault="00987E65" w:rsidP="00A13F7D">
      <w:pPr>
        <w:spacing w:line="276" w:lineRule="auto"/>
        <w:rPr>
          <w:b/>
          <w:sz w:val="22"/>
          <w:szCs w:val="22"/>
        </w:rPr>
      </w:pPr>
    </w:p>
    <w:p w:rsidR="001B4BFB" w:rsidRPr="00987E65" w:rsidRDefault="001B4BFB" w:rsidP="00A13F7D">
      <w:pPr>
        <w:spacing w:line="276" w:lineRule="auto"/>
        <w:rPr>
          <w:b/>
          <w:sz w:val="22"/>
          <w:szCs w:val="22"/>
        </w:rPr>
      </w:pPr>
    </w:p>
    <w:p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987E65">
        <w:rPr>
          <w:b/>
          <w:sz w:val="22"/>
          <w:szCs w:val="22"/>
        </w:rPr>
        <w:t xml:space="preserve">2018. </w:t>
      </w:r>
      <w:r>
        <w:rPr>
          <w:b/>
          <w:sz w:val="22"/>
          <w:szCs w:val="22"/>
        </w:rPr>
        <w:t>godine</w:t>
      </w:r>
    </w:p>
    <w:p w:rsidR="00955732" w:rsidRDefault="00955732" w:rsidP="00955732">
      <w:pPr>
        <w:jc w:val="both"/>
      </w:pPr>
    </w:p>
    <w:p w:rsidR="00D94CD2" w:rsidRPr="00D94CD2" w:rsidRDefault="00D94CD2" w:rsidP="00B14EFC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 xml:space="preserve">U Dječjem vrtiću Požega ostvaruje se program njege, odgoja, obrazovanja, zdravstvene zaštite, prehrane i socijalne skrbi o djeci predškolske dobi, program odgoja i obrazovanja djece u godini prije polaska u osnovnu školu, program ranog učenja stranih jezika i drugi programi umjetničkog, kulturnog, vjerskog i sportskog sadržaja. </w:t>
      </w:r>
    </w:p>
    <w:p w:rsidR="00D94CD2" w:rsidRPr="00D94CD2" w:rsidRDefault="00D94CD2" w:rsidP="00B14EFC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>Predškolski odgoj organizira se i provodi za djecu od navršene 1. godine života do polaska u osnovnu školu.</w:t>
      </w:r>
    </w:p>
    <w:p w:rsidR="00D94CD2" w:rsidRPr="00D94CD2" w:rsidRDefault="00D94CD2" w:rsidP="00B14EFC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 xml:space="preserve">U sklopu redovnog programa naš vrtić ima jednu Montessori skupinu. Program se temelji na osnovnim principima Montessori pedagogije, a to su: dijete u središtu zanimanja, pripremljena okolina, odgovornost, sloboda izbora, kretanja i Montessori didaktička sredstva. </w:t>
      </w:r>
      <w:r w:rsidRPr="00D94CD2">
        <w:rPr>
          <w:sz w:val="22"/>
          <w:szCs w:val="22"/>
        </w:rPr>
        <w:tab/>
      </w:r>
    </w:p>
    <w:p w:rsidR="00D94CD2" w:rsidRPr="00D94CD2" w:rsidRDefault="00D94CD2" w:rsidP="00B14EFC">
      <w:pPr>
        <w:pStyle w:val="BodyText24"/>
        <w:ind w:firstLine="426"/>
        <w:rPr>
          <w:b w:val="0"/>
          <w:sz w:val="22"/>
          <w:szCs w:val="22"/>
        </w:rPr>
      </w:pPr>
      <w:r w:rsidRPr="00D94CD2">
        <w:rPr>
          <w:b w:val="0"/>
          <w:sz w:val="22"/>
          <w:szCs w:val="22"/>
        </w:rPr>
        <w:tab/>
        <w:t>Program predškole provodi se u Dječjem vrtiću Požega u skladu s Pravilnikom o sadržaju i trajanju programa predškole (NN 107/14 ), a prema programu koji je verificiran od strane Ministarstvo znanosti obrazovanja i sporta.</w:t>
      </w:r>
    </w:p>
    <w:p w:rsidR="00D94CD2" w:rsidRPr="00D94CD2" w:rsidRDefault="00D94CD2" w:rsidP="00B14EFC">
      <w:pPr>
        <w:rPr>
          <w:sz w:val="22"/>
          <w:szCs w:val="22"/>
        </w:rPr>
      </w:pPr>
    </w:p>
    <w:p w:rsidR="00D94CD2" w:rsidRPr="00D94CD2" w:rsidRDefault="00D94CD2" w:rsidP="00B14EFC">
      <w:pPr>
        <w:jc w:val="both"/>
        <w:rPr>
          <w:b/>
          <w:sz w:val="22"/>
          <w:szCs w:val="22"/>
        </w:rPr>
      </w:pPr>
      <w:r w:rsidRPr="00D94CD2">
        <w:rPr>
          <w:b/>
          <w:sz w:val="22"/>
          <w:szCs w:val="22"/>
        </w:rPr>
        <w:t>ZAKONSKA OSNOVA ZA UVOĐENJE PROGRAMA</w:t>
      </w:r>
    </w:p>
    <w:p w:rsidR="00D94CD2" w:rsidRPr="00D94CD2" w:rsidRDefault="00D94CD2" w:rsidP="00B14EFC">
      <w:pPr>
        <w:ind w:left="284"/>
        <w:jc w:val="both"/>
        <w:rPr>
          <w:sz w:val="22"/>
          <w:szCs w:val="22"/>
        </w:rPr>
      </w:pPr>
    </w:p>
    <w:p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predškolskom odgoju i obrazovanju (N.N., br.10/97., 107/07. i 94./13.);</w:t>
      </w:r>
    </w:p>
    <w:p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ustanovama RH (N.N., br.76/93.)</w:t>
      </w:r>
    </w:p>
    <w:p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Prijedlog koncepcije razvoja predškolskog odgoja (Glasnik Ministarstva kulture i    prosvjete br.7/8 1991.)</w:t>
      </w:r>
    </w:p>
    <w:p w:rsidR="00D94CD2" w:rsidRPr="00D94CD2" w:rsidRDefault="00D94CD2" w:rsidP="00B14EFC">
      <w:pPr>
        <w:numPr>
          <w:ilvl w:val="0"/>
          <w:numId w:val="20"/>
        </w:numPr>
        <w:tabs>
          <w:tab w:val="left" w:pos="-2127"/>
        </w:tabs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Programsko usmjerenje odgoja i obrazovanja  predškolske djece (Glasnik Ministarstva kulture i prosvjete 7/8 1991.)</w:t>
      </w:r>
    </w:p>
    <w:p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Odluka o elementima standarda društvene brige o djeci predškolskog uzrasta (N.N., br. 29/83.)</w:t>
      </w:r>
    </w:p>
    <w:p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Državni pedagoški standard predškolskog odgoja (N.N., br. 63/08 i 90/10.)</w:t>
      </w:r>
    </w:p>
    <w:p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financiranju jedinica lokalne uprave i samouprave (N.N., br. 117/93.)</w:t>
      </w:r>
    </w:p>
    <w:p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Odluka o elementima standarda specifičnih potreba djece s teškoćama u razvoju (N.N., br. 47/87.)</w:t>
      </w:r>
    </w:p>
    <w:p w:rsidR="00D94CD2" w:rsidRPr="00D94CD2" w:rsidRDefault="00D94CD2" w:rsidP="00B14EFC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Pravilnik o sadržaju i trajanju programa predškole (N.N. br 107/14)</w:t>
      </w:r>
    </w:p>
    <w:p w:rsidR="003D3993" w:rsidRDefault="003D3993" w:rsidP="00B14EFC">
      <w:pPr>
        <w:jc w:val="both"/>
        <w:rPr>
          <w:sz w:val="22"/>
          <w:szCs w:val="22"/>
        </w:rPr>
      </w:pPr>
    </w:p>
    <w:p w:rsidR="003D3993" w:rsidRDefault="003D3993" w:rsidP="003D3993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:rsidR="003D3993" w:rsidRDefault="003D3993" w:rsidP="003D3993">
      <w:pPr>
        <w:jc w:val="both"/>
        <w:rPr>
          <w:b/>
          <w:sz w:val="22"/>
          <w:szCs w:val="22"/>
        </w:rPr>
      </w:pPr>
    </w:p>
    <w:p w:rsidR="0055551D" w:rsidRDefault="0055551D" w:rsidP="0055551D">
      <w:pPr>
        <w:jc w:val="both"/>
        <w:rPr>
          <w:sz w:val="22"/>
          <w:szCs w:val="22"/>
        </w:rPr>
      </w:pPr>
      <w:r w:rsidRPr="0055551D">
        <w:rPr>
          <w:sz w:val="22"/>
          <w:szCs w:val="22"/>
        </w:rPr>
        <w:t>1.</w:t>
      </w:r>
      <w:r>
        <w:rPr>
          <w:sz w:val="22"/>
          <w:szCs w:val="22"/>
        </w:rPr>
        <w:t xml:space="preserve"> AOP 015 – Uredska oprema i namještaj – nabavljena su računala i računalna oprema te uredski namještaj u vrijednosti </w:t>
      </w:r>
      <w:r w:rsidR="00833B4D">
        <w:rPr>
          <w:sz w:val="22"/>
          <w:szCs w:val="22"/>
        </w:rPr>
        <w:t>38.696</w:t>
      </w:r>
      <w:r>
        <w:rPr>
          <w:sz w:val="22"/>
          <w:szCs w:val="22"/>
        </w:rPr>
        <w:t xml:space="preserve"> kn</w:t>
      </w:r>
    </w:p>
    <w:p w:rsidR="0055551D" w:rsidRDefault="00833B4D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2. AOP 016 – Komunikacijska oprema – nabavljena je komunikacijska oprema u vrijednosti 5.200 kn</w:t>
      </w:r>
    </w:p>
    <w:p w:rsidR="00833B4D" w:rsidRDefault="000551AE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833B4D">
        <w:rPr>
          <w:sz w:val="22"/>
          <w:szCs w:val="22"/>
        </w:rPr>
        <w:t>AOP 021</w:t>
      </w:r>
      <w:r w:rsidR="00964D71">
        <w:rPr>
          <w:sz w:val="22"/>
          <w:szCs w:val="22"/>
        </w:rPr>
        <w:t xml:space="preserve"> –</w:t>
      </w:r>
      <w:r w:rsidR="00833B4D">
        <w:rPr>
          <w:sz w:val="22"/>
          <w:szCs w:val="22"/>
        </w:rPr>
        <w:t xml:space="preserve"> Uređaji, strojevi i oprema za ostale namjene</w:t>
      </w:r>
      <w:r w:rsidR="00964D71">
        <w:rPr>
          <w:sz w:val="22"/>
          <w:szCs w:val="22"/>
        </w:rPr>
        <w:t xml:space="preserve"> – </w:t>
      </w:r>
      <w:r w:rsidR="00833B4D">
        <w:rPr>
          <w:sz w:val="22"/>
          <w:szCs w:val="22"/>
        </w:rPr>
        <w:t>oprema za opremanje nove zgrade Dječjeg vrtića u Rudinskoj ulici darovana je od strane Grada prema darovnom ugovoru. Ukupno novonabavljeni uređaji, strojevi i oprema za ostale namjene, zajedno s darovanom, iznos 1.726.941 kn</w:t>
      </w:r>
    </w:p>
    <w:p w:rsidR="003C012F" w:rsidRDefault="003C012F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4. AOP 049 – Sitni inventar u upotrebi – nabavljen je sitni inventar u vrijednosti 130.441 kn (od toga dio se odnosi na donaciju od strane Grada za novi prostor vrtića)</w:t>
      </w:r>
    </w:p>
    <w:p w:rsidR="00964D71" w:rsidRDefault="000551AE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64D71">
        <w:rPr>
          <w:sz w:val="22"/>
          <w:szCs w:val="22"/>
        </w:rPr>
        <w:t>. AOP 154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</w:t>
      </w:r>
      <w:r w:rsidR="003C012F">
        <w:rPr>
          <w:sz w:val="22"/>
          <w:szCs w:val="22"/>
        </w:rPr>
        <w:t>nosi 274.461</w:t>
      </w:r>
      <w:r w:rsidR="00964D71">
        <w:rPr>
          <w:sz w:val="22"/>
          <w:szCs w:val="22"/>
        </w:rPr>
        <w:t xml:space="preserve"> kn.</w:t>
      </w:r>
    </w:p>
    <w:p w:rsidR="00964D71" w:rsidRDefault="000551AE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64D71">
        <w:rPr>
          <w:sz w:val="22"/>
          <w:szCs w:val="22"/>
        </w:rPr>
        <w:t xml:space="preserve">. AOP </w:t>
      </w:r>
      <w:r w:rsidR="003C012F">
        <w:rPr>
          <w:sz w:val="22"/>
          <w:szCs w:val="22"/>
        </w:rPr>
        <w:t xml:space="preserve">156 – Ispravak vrijednosti potraživanja </w:t>
      </w:r>
      <w:r>
        <w:rPr>
          <w:sz w:val="22"/>
          <w:szCs w:val="22"/>
        </w:rPr>
        <w:t>–</w:t>
      </w:r>
      <w:r w:rsidR="003C012F">
        <w:rPr>
          <w:sz w:val="22"/>
          <w:szCs w:val="22"/>
        </w:rPr>
        <w:t xml:space="preserve"> </w:t>
      </w:r>
      <w:r>
        <w:rPr>
          <w:sz w:val="22"/>
          <w:szCs w:val="22"/>
        </w:rPr>
        <w:t>prema izmjena i dopunama Pravilnika o proračunskom računovodstvu, propisana je obveza provođenja ispravka vrijednosti potraživanja, onih od 1 do 3 godine 50 %, te onih starijih od 3 godine 100 %. Tako ukupan iznos otpisa potraživanja i</w:t>
      </w:r>
      <w:r w:rsidR="00B14EFC">
        <w:rPr>
          <w:sz w:val="22"/>
          <w:szCs w:val="22"/>
        </w:rPr>
        <w:t xml:space="preserve">znosi 110.085 kn </w:t>
      </w:r>
      <w:r w:rsidR="00B14EFC">
        <w:rPr>
          <w:sz w:val="22"/>
          <w:szCs w:val="22"/>
        </w:rPr>
        <w:lastRenderedPageBreak/>
        <w:t>(</w:t>
      </w:r>
      <w:r>
        <w:rPr>
          <w:sz w:val="22"/>
          <w:szCs w:val="22"/>
        </w:rPr>
        <w:t xml:space="preserve">sastoji od 18.659 kn nenaplaćenih potraživanja do 1 godine – od roditelja, male škole i ovrha, i 91.426 kn nenaplaćenih potraživanja starijih od 3 godine) </w:t>
      </w:r>
    </w:p>
    <w:p w:rsidR="000551AE" w:rsidRDefault="000551AE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AOP 166 – Obveze za materijalne rashode – ove su obveze manje u odnosu na prošlu godinu za 46.309 kn zbog dodatnih troškova koji su nastali prilikom preseljenja vrtića na novu lokaciju. Istih sad nije bilo, time su i obveze manje. </w:t>
      </w:r>
    </w:p>
    <w:p w:rsidR="006E4CC5" w:rsidRDefault="000551AE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64D71">
        <w:rPr>
          <w:sz w:val="22"/>
          <w:szCs w:val="22"/>
        </w:rPr>
        <w:t xml:space="preserve">. </w:t>
      </w:r>
      <w:r>
        <w:rPr>
          <w:sz w:val="22"/>
          <w:szCs w:val="22"/>
        </w:rPr>
        <w:t>Dječji vrtić</w:t>
      </w:r>
      <w:r w:rsidR="00964D71">
        <w:rPr>
          <w:sz w:val="22"/>
          <w:szCs w:val="22"/>
        </w:rPr>
        <w:t xml:space="preserve"> nema sudskih sporova u </w:t>
      </w:r>
      <w:r>
        <w:rPr>
          <w:sz w:val="22"/>
          <w:szCs w:val="22"/>
        </w:rPr>
        <w:t>tijeku</w:t>
      </w:r>
      <w:r w:rsidR="006E4CC5">
        <w:rPr>
          <w:sz w:val="22"/>
          <w:szCs w:val="22"/>
        </w:rPr>
        <w:t>.</w:t>
      </w:r>
    </w:p>
    <w:p w:rsidR="006E4CC5" w:rsidRDefault="006E4CC5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9. Popis ugovornih odnosa i slično koji uz ispunjenje određenih uvjeta mogu postati obveza ili imovina navedena su u Prilogu 1., a odnosi se na zadužnicu za  leasing automobila koji se vodi u izvanbilančnoj evidenciji.</w:t>
      </w:r>
    </w:p>
    <w:p w:rsidR="006E4CC5" w:rsidRDefault="006E4CC5" w:rsidP="0055551D">
      <w:pPr>
        <w:jc w:val="both"/>
        <w:rPr>
          <w:b/>
          <w:sz w:val="22"/>
          <w:szCs w:val="22"/>
        </w:rPr>
      </w:pPr>
    </w:p>
    <w:p w:rsidR="00E34F0B" w:rsidRDefault="00E34F0B" w:rsidP="005555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PR-RAS</w:t>
      </w:r>
    </w:p>
    <w:p w:rsidR="00E34F0B" w:rsidRDefault="00E34F0B" w:rsidP="0055551D">
      <w:pPr>
        <w:jc w:val="both"/>
        <w:rPr>
          <w:sz w:val="22"/>
          <w:szCs w:val="22"/>
        </w:rPr>
      </w:pPr>
    </w:p>
    <w:p w:rsidR="000D2A8F" w:rsidRDefault="000D2A8F" w:rsidP="000D2A8F">
      <w:pPr>
        <w:jc w:val="both"/>
        <w:rPr>
          <w:sz w:val="22"/>
          <w:szCs w:val="22"/>
        </w:rPr>
      </w:pPr>
      <w:r w:rsidRPr="000D2A8F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AOP </w:t>
      </w:r>
      <w:r w:rsidR="00885FDF">
        <w:rPr>
          <w:sz w:val="22"/>
          <w:szCs w:val="22"/>
        </w:rPr>
        <w:t>058</w:t>
      </w:r>
      <w:r>
        <w:rPr>
          <w:sz w:val="22"/>
          <w:szCs w:val="22"/>
        </w:rPr>
        <w:t xml:space="preserve"> – </w:t>
      </w:r>
      <w:r w:rsidR="00885FDF">
        <w:rPr>
          <w:sz w:val="22"/>
          <w:szCs w:val="22"/>
        </w:rPr>
        <w:t>Tekuće pomoći od izvanproračunskih korisnika</w:t>
      </w:r>
      <w:r>
        <w:rPr>
          <w:sz w:val="22"/>
          <w:szCs w:val="22"/>
        </w:rPr>
        <w:t xml:space="preserve"> – </w:t>
      </w:r>
      <w:r w:rsidR="00885FDF">
        <w:rPr>
          <w:sz w:val="22"/>
          <w:szCs w:val="22"/>
        </w:rPr>
        <w:t>2018. godine ostvaren je prihod u iznosu 232.891 kn za pokrivanja troškova stručnog osposobljavanja od strane HZZO-a</w:t>
      </w:r>
    </w:p>
    <w:p w:rsidR="004322A3" w:rsidRDefault="000D2A8F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AOP </w:t>
      </w:r>
      <w:r w:rsidR="004322A3">
        <w:rPr>
          <w:sz w:val="22"/>
          <w:szCs w:val="22"/>
        </w:rPr>
        <w:t>1</w:t>
      </w:r>
      <w:r w:rsidR="00885FDF">
        <w:rPr>
          <w:sz w:val="22"/>
          <w:szCs w:val="22"/>
        </w:rPr>
        <w:t>16</w:t>
      </w:r>
      <w:r w:rsidR="004322A3">
        <w:rPr>
          <w:sz w:val="22"/>
          <w:szCs w:val="22"/>
        </w:rPr>
        <w:t xml:space="preserve"> – </w:t>
      </w:r>
      <w:r w:rsidR="00885FDF">
        <w:rPr>
          <w:sz w:val="22"/>
          <w:szCs w:val="22"/>
        </w:rPr>
        <w:t>Ostali nespomenuti prihod</w:t>
      </w:r>
      <w:r w:rsidR="004322A3">
        <w:rPr>
          <w:sz w:val="22"/>
          <w:szCs w:val="22"/>
        </w:rPr>
        <w:t xml:space="preserve"> – </w:t>
      </w:r>
      <w:r w:rsidR="00885FDF">
        <w:rPr>
          <w:sz w:val="22"/>
          <w:szCs w:val="22"/>
        </w:rPr>
        <w:t>prihodi su povećani u odnosu na prošlu godinu za 169.570 kn, prihod se odnosi na prihode od roditelja za programe Dječjeg vrtića, ostvaren je veći prihod radi većeg broja čuvanja djece</w:t>
      </w:r>
    </w:p>
    <w:p w:rsidR="004322A3" w:rsidRDefault="004322A3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3. AOP 133 – Prihodi iz nadležnog proračuna za financiranje izdataka za financijsku imovinu i otplatu zajmova – povećanje u odnosu na prethodnu godinu zbog više nabavljene dugotrajne imovine</w:t>
      </w:r>
    </w:p>
    <w:p w:rsidR="00914055" w:rsidRDefault="004322A3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AOP 149 </w:t>
      </w:r>
      <w:r w:rsidR="0091405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14055">
        <w:rPr>
          <w:sz w:val="22"/>
          <w:szCs w:val="22"/>
        </w:rPr>
        <w:t xml:space="preserve">Rashodi za zaposlene – povećanje u odnosu na prethodnu godinu se odnosi na povećanja plaća od siječnja povećanjem koeficijenata </w:t>
      </w:r>
    </w:p>
    <w:p w:rsidR="007F1590" w:rsidRPr="00122DFD" w:rsidRDefault="007F1590" w:rsidP="007F1590">
      <w:pPr>
        <w:jc w:val="both"/>
        <w:rPr>
          <w:sz w:val="22"/>
          <w:szCs w:val="22"/>
        </w:rPr>
      </w:pPr>
      <w:r w:rsidRPr="00122DFD">
        <w:rPr>
          <w:sz w:val="22"/>
          <w:szCs w:val="22"/>
        </w:rPr>
        <w:t xml:space="preserve">5. AOP 160 – Materijalni rashodi – </w:t>
      </w:r>
      <w:r>
        <w:rPr>
          <w:sz w:val="22"/>
          <w:szCs w:val="22"/>
        </w:rPr>
        <w:t>povećanje</w:t>
      </w:r>
      <w:r w:rsidRPr="00122DFD">
        <w:rPr>
          <w:sz w:val="22"/>
          <w:szCs w:val="22"/>
        </w:rPr>
        <w:t xml:space="preserve"> u odnosu na prethodnu godinu odnosi se na povećanje naknada troškova zaposlenima, smanjenja rashoda za materijal i energiju, </w:t>
      </w:r>
      <w:r>
        <w:rPr>
          <w:sz w:val="22"/>
          <w:szCs w:val="22"/>
        </w:rPr>
        <w:t>smanjenje</w:t>
      </w:r>
      <w:r w:rsidRPr="00122DFD">
        <w:rPr>
          <w:sz w:val="22"/>
          <w:szCs w:val="22"/>
        </w:rPr>
        <w:t xml:space="preserve"> rashoda za usluge, te povećanja ostalih nespomenutih rashoda poslovanja</w:t>
      </w:r>
    </w:p>
    <w:p w:rsidR="00914055" w:rsidRPr="007F1590" w:rsidRDefault="00914055" w:rsidP="000D2A8F">
      <w:pPr>
        <w:jc w:val="both"/>
        <w:rPr>
          <w:sz w:val="22"/>
          <w:szCs w:val="22"/>
        </w:rPr>
      </w:pPr>
      <w:r w:rsidRPr="007F1590">
        <w:rPr>
          <w:sz w:val="22"/>
          <w:szCs w:val="22"/>
        </w:rPr>
        <w:t>6. AOP 341 – Rashodi za nabavu nefinancijske imovine – povećanje u odnosu na prethodnu godinu jer je nabavljeno više dugotrajne imovine (</w:t>
      </w:r>
      <w:r w:rsidR="007F1590">
        <w:rPr>
          <w:sz w:val="22"/>
          <w:szCs w:val="22"/>
        </w:rPr>
        <w:t>uređaji, strojevi i oprema za ostale namjene</w:t>
      </w:r>
      <w:r w:rsidRPr="007F1590">
        <w:rPr>
          <w:sz w:val="22"/>
          <w:szCs w:val="22"/>
        </w:rPr>
        <w:t>)</w:t>
      </w:r>
    </w:p>
    <w:p w:rsidR="00914055" w:rsidRPr="00E03C02" w:rsidRDefault="00914055" w:rsidP="000D2A8F">
      <w:pPr>
        <w:jc w:val="both"/>
        <w:rPr>
          <w:sz w:val="22"/>
          <w:szCs w:val="22"/>
        </w:rPr>
      </w:pPr>
      <w:r w:rsidRPr="00E03C02">
        <w:rPr>
          <w:sz w:val="22"/>
          <w:szCs w:val="22"/>
        </w:rPr>
        <w:t>7. AOP 63</w:t>
      </w:r>
      <w:r w:rsidR="007F1590" w:rsidRPr="00E03C02">
        <w:rPr>
          <w:sz w:val="22"/>
          <w:szCs w:val="22"/>
        </w:rPr>
        <w:t>1</w:t>
      </w:r>
      <w:r w:rsidRPr="00E03C02">
        <w:rPr>
          <w:sz w:val="22"/>
          <w:szCs w:val="22"/>
        </w:rPr>
        <w:t xml:space="preserve"> do 63</w:t>
      </w:r>
      <w:r w:rsidR="007F1590" w:rsidRPr="00E03C02">
        <w:rPr>
          <w:sz w:val="22"/>
          <w:szCs w:val="22"/>
        </w:rPr>
        <w:t>5</w:t>
      </w:r>
      <w:r w:rsidRPr="00E03C02">
        <w:rPr>
          <w:sz w:val="22"/>
          <w:szCs w:val="22"/>
        </w:rPr>
        <w:t xml:space="preserve"> – </w:t>
      </w:r>
      <w:r w:rsidR="007F1590" w:rsidRPr="00E03C02">
        <w:rPr>
          <w:sz w:val="22"/>
          <w:szCs w:val="22"/>
        </w:rPr>
        <w:t>Dječji vrtić Požega</w:t>
      </w:r>
      <w:r w:rsidRPr="00E03C02">
        <w:rPr>
          <w:sz w:val="22"/>
          <w:szCs w:val="22"/>
        </w:rPr>
        <w:t xml:space="preserve"> je </w:t>
      </w:r>
      <w:r w:rsidR="00735C64" w:rsidRPr="00E03C02">
        <w:rPr>
          <w:sz w:val="22"/>
          <w:szCs w:val="22"/>
        </w:rPr>
        <w:t xml:space="preserve">ostvario tekući </w:t>
      </w:r>
      <w:r w:rsidR="007F1590" w:rsidRPr="00E03C02">
        <w:rPr>
          <w:sz w:val="22"/>
          <w:szCs w:val="22"/>
        </w:rPr>
        <w:t>višak</w:t>
      </w:r>
      <w:r w:rsidR="00735C64" w:rsidRPr="00E03C02">
        <w:rPr>
          <w:sz w:val="22"/>
          <w:szCs w:val="22"/>
        </w:rPr>
        <w:t xml:space="preserve"> u iznosu </w:t>
      </w:r>
      <w:r w:rsidR="007F1590" w:rsidRPr="00E03C02">
        <w:rPr>
          <w:sz w:val="22"/>
          <w:szCs w:val="22"/>
        </w:rPr>
        <w:t>113.507</w:t>
      </w:r>
      <w:r w:rsidR="00735C64" w:rsidRPr="00E03C02">
        <w:rPr>
          <w:sz w:val="22"/>
          <w:szCs w:val="22"/>
        </w:rPr>
        <w:t xml:space="preserve"> kn što sa prenesenim </w:t>
      </w:r>
      <w:r w:rsidR="007F1590" w:rsidRPr="00E03C02">
        <w:rPr>
          <w:sz w:val="22"/>
          <w:szCs w:val="22"/>
        </w:rPr>
        <w:t xml:space="preserve">viškom </w:t>
      </w:r>
      <w:r w:rsidR="00735C64" w:rsidRPr="00E03C02">
        <w:rPr>
          <w:sz w:val="22"/>
          <w:szCs w:val="22"/>
        </w:rPr>
        <w:t xml:space="preserve">iz prethodne godine u iznosu </w:t>
      </w:r>
      <w:r w:rsidR="007F1590" w:rsidRPr="00E03C02">
        <w:rPr>
          <w:sz w:val="22"/>
          <w:szCs w:val="22"/>
        </w:rPr>
        <w:t>108.206</w:t>
      </w:r>
      <w:r w:rsidR="00735C64" w:rsidRPr="00E03C02">
        <w:rPr>
          <w:sz w:val="22"/>
          <w:szCs w:val="22"/>
        </w:rPr>
        <w:t xml:space="preserve"> kn čini konačni rezultat </w:t>
      </w:r>
      <w:r w:rsidR="00E03C02" w:rsidRPr="00E03C02">
        <w:rPr>
          <w:sz w:val="22"/>
          <w:szCs w:val="22"/>
        </w:rPr>
        <w:t xml:space="preserve">višak </w:t>
      </w:r>
      <w:r w:rsidR="00735C64" w:rsidRPr="00E03C02">
        <w:rPr>
          <w:sz w:val="22"/>
          <w:szCs w:val="22"/>
        </w:rPr>
        <w:t xml:space="preserve">u iznosu </w:t>
      </w:r>
      <w:r w:rsidR="00E03C02" w:rsidRPr="00E03C02">
        <w:rPr>
          <w:sz w:val="22"/>
          <w:szCs w:val="22"/>
        </w:rPr>
        <w:t>221.713</w:t>
      </w:r>
      <w:r w:rsidR="00735C64" w:rsidRPr="00E03C02">
        <w:rPr>
          <w:sz w:val="22"/>
          <w:szCs w:val="22"/>
        </w:rPr>
        <w:t xml:space="preserve"> kn </w:t>
      </w:r>
      <w:r w:rsidR="00E03C02" w:rsidRPr="00E03C02">
        <w:rPr>
          <w:sz w:val="22"/>
          <w:szCs w:val="22"/>
        </w:rPr>
        <w:t>koji je raspoloživ za trošenje u sljedećem razdoblju</w:t>
      </w:r>
      <w:r w:rsidR="00735C64" w:rsidRPr="00E03C02">
        <w:rPr>
          <w:sz w:val="22"/>
          <w:szCs w:val="22"/>
        </w:rPr>
        <w:t>.</w:t>
      </w:r>
    </w:p>
    <w:p w:rsidR="00735C64" w:rsidRDefault="00735C64" w:rsidP="000D2A8F">
      <w:pPr>
        <w:jc w:val="both"/>
        <w:rPr>
          <w:sz w:val="22"/>
          <w:szCs w:val="22"/>
        </w:rPr>
      </w:pPr>
    </w:p>
    <w:p w:rsidR="00735C64" w:rsidRPr="00735C64" w:rsidRDefault="00735C64" w:rsidP="000D2A8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:rsidR="00735C64" w:rsidRDefault="00735C64" w:rsidP="000D2A8F">
      <w:pPr>
        <w:jc w:val="both"/>
        <w:rPr>
          <w:sz w:val="22"/>
          <w:szCs w:val="22"/>
        </w:rPr>
      </w:pPr>
    </w:p>
    <w:p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 w:rsidR="00DB5A6D">
        <w:rPr>
          <w:sz w:val="22"/>
          <w:szCs w:val="22"/>
        </w:rPr>
        <w:t xml:space="preserve"> AOP 112</w:t>
      </w:r>
      <w:r>
        <w:rPr>
          <w:sz w:val="22"/>
          <w:szCs w:val="22"/>
        </w:rPr>
        <w:t xml:space="preserve"> – </w:t>
      </w:r>
      <w:r w:rsidR="00DB5A6D">
        <w:rPr>
          <w:sz w:val="22"/>
          <w:szCs w:val="22"/>
        </w:rPr>
        <w:t>Predškolsko obrazovanje</w:t>
      </w:r>
      <w:r>
        <w:rPr>
          <w:sz w:val="22"/>
          <w:szCs w:val="22"/>
        </w:rPr>
        <w:t xml:space="preserve"> – ukupni rashodi </w:t>
      </w:r>
      <w:r w:rsidR="00DB5A6D">
        <w:rPr>
          <w:sz w:val="22"/>
          <w:szCs w:val="22"/>
        </w:rPr>
        <w:t>u iznosu 7.590.563</w:t>
      </w:r>
      <w:r>
        <w:rPr>
          <w:sz w:val="22"/>
          <w:szCs w:val="22"/>
        </w:rPr>
        <w:t xml:space="preserve"> kn prema funkcijskoj klasifikaciji s</w:t>
      </w:r>
      <w:r w:rsidR="00DB5A6D">
        <w:rPr>
          <w:sz w:val="22"/>
          <w:szCs w:val="22"/>
        </w:rPr>
        <w:t xml:space="preserve">e odnose na predškolsko obrazovanje 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P-VRIO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021 – Proizvedena dugotrajna imovina – </w:t>
      </w:r>
      <w:r w:rsidR="00DB5A6D">
        <w:rPr>
          <w:sz w:val="22"/>
          <w:szCs w:val="22"/>
        </w:rPr>
        <w:t>odnosi se na povećanje proizvedene dugotrajne imovine koja je dobivena od strane Grada nakon preseljenja Vrtića na novu lokaciju</w:t>
      </w:r>
      <w:r>
        <w:rPr>
          <w:sz w:val="22"/>
          <w:szCs w:val="22"/>
        </w:rPr>
        <w:t>.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036 – Stanje obveza na kraju izvještajnog razdoblja  iz</w:t>
      </w:r>
      <w:r w:rsidR="00DB5A6D">
        <w:rPr>
          <w:sz w:val="22"/>
          <w:szCs w:val="22"/>
        </w:rPr>
        <w:t>nosi 578.989</w:t>
      </w:r>
      <w:r>
        <w:rPr>
          <w:sz w:val="22"/>
          <w:szCs w:val="22"/>
        </w:rPr>
        <w:t xml:space="preserve"> kn</w:t>
      </w:r>
      <w:r w:rsidR="00DB5A6D">
        <w:rPr>
          <w:sz w:val="22"/>
          <w:szCs w:val="22"/>
        </w:rPr>
        <w:t xml:space="preserve"> od čega 325</w:t>
      </w:r>
      <w:r w:rsidR="00A91AE5">
        <w:rPr>
          <w:sz w:val="22"/>
          <w:szCs w:val="22"/>
        </w:rPr>
        <w:t xml:space="preserve"> kn dospjelih obveza</w:t>
      </w:r>
      <w:r w:rsidR="007A23E7">
        <w:rPr>
          <w:sz w:val="22"/>
          <w:szCs w:val="22"/>
        </w:rPr>
        <w:t xml:space="preserve"> (račun), a </w:t>
      </w:r>
      <w:r w:rsidR="00DB5A6D">
        <w:rPr>
          <w:sz w:val="22"/>
          <w:szCs w:val="22"/>
        </w:rPr>
        <w:t>578.664</w:t>
      </w:r>
      <w:r w:rsidR="007A23E7">
        <w:rPr>
          <w:sz w:val="22"/>
          <w:szCs w:val="22"/>
        </w:rPr>
        <w:t xml:space="preserve"> kn nedospjelih obveza (računi i plaća za 12. mjesec).</w:t>
      </w: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Požega, 31. siječnja 2019.</w:t>
      </w: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za</w:t>
      </w:r>
      <w:r w:rsidR="00DB5A6D">
        <w:rPr>
          <w:sz w:val="22"/>
          <w:szCs w:val="22"/>
        </w:rPr>
        <w:t xml:space="preserve"> kontaktiranje: Matea Čeliković, bacc</w:t>
      </w:r>
      <w:r>
        <w:rPr>
          <w:sz w:val="22"/>
          <w:szCs w:val="22"/>
        </w:rPr>
        <w:t>.oec.</w:t>
      </w:r>
    </w:p>
    <w:p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:rsidR="00B25DC7" w:rsidRPr="007A23E7" w:rsidRDefault="00B25DC7" w:rsidP="00B25DC7">
      <w:pPr>
        <w:spacing w:line="276" w:lineRule="auto"/>
        <w:jc w:val="both"/>
        <w:rPr>
          <w:sz w:val="22"/>
          <w:szCs w:val="22"/>
        </w:rPr>
      </w:pPr>
    </w:p>
    <w:p w:rsidR="00B25DC7" w:rsidRPr="007A23E7" w:rsidRDefault="00B25DC7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7A23E7">
        <w:rPr>
          <w:sz w:val="22"/>
          <w:szCs w:val="22"/>
        </w:rPr>
        <w:t>Ravnateljica:</w:t>
      </w:r>
    </w:p>
    <w:p w:rsidR="00B25DC7" w:rsidRPr="007A23E7" w:rsidRDefault="00DB5A6D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Sanda Lukić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9"/>
  </w:num>
  <w:num w:numId="5">
    <w:abstractNumId w:val="18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17"/>
  </w:num>
  <w:num w:numId="16">
    <w:abstractNumId w:val="12"/>
  </w:num>
  <w:num w:numId="17">
    <w:abstractNumId w:val="9"/>
  </w:num>
  <w:num w:numId="18">
    <w:abstractNumId w:val="6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F4"/>
    <w:rsid w:val="000023D1"/>
    <w:rsid w:val="000551AE"/>
    <w:rsid w:val="00063C1D"/>
    <w:rsid w:val="00086495"/>
    <w:rsid w:val="0009301A"/>
    <w:rsid w:val="000B6451"/>
    <w:rsid w:val="000D2A8F"/>
    <w:rsid w:val="00145730"/>
    <w:rsid w:val="0015068E"/>
    <w:rsid w:val="00176302"/>
    <w:rsid w:val="001B4BFB"/>
    <w:rsid w:val="001E5FBC"/>
    <w:rsid w:val="001F2669"/>
    <w:rsid w:val="0020122C"/>
    <w:rsid w:val="00212732"/>
    <w:rsid w:val="00231E8C"/>
    <w:rsid w:val="00242E4B"/>
    <w:rsid w:val="00261B42"/>
    <w:rsid w:val="002A03C3"/>
    <w:rsid w:val="002A3A79"/>
    <w:rsid w:val="002A3C3F"/>
    <w:rsid w:val="002B1D5C"/>
    <w:rsid w:val="002D15E9"/>
    <w:rsid w:val="002D18F5"/>
    <w:rsid w:val="003063F4"/>
    <w:rsid w:val="00313E03"/>
    <w:rsid w:val="00322882"/>
    <w:rsid w:val="00366F01"/>
    <w:rsid w:val="00385FEC"/>
    <w:rsid w:val="003877E7"/>
    <w:rsid w:val="0039496C"/>
    <w:rsid w:val="003A4E37"/>
    <w:rsid w:val="003B1509"/>
    <w:rsid w:val="003C012F"/>
    <w:rsid w:val="003D3993"/>
    <w:rsid w:val="003F280A"/>
    <w:rsid w:val="004322A3"/>
    <w:rsid w:val="00433CD9"/>
    <w:rsid w:val="00445D7C"/>
    <w:rsid w:val="0045285D"/>
    <w:rsid w:val="00455BB9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A264B"/>
    <w:rsid w:val="006E0AB0"/>
    <w:rsid w:val="006E4CC5"/>
    <w:rsid w:val="00705D89"/>
    <w:rsid w:val="007159F9"/>
    <w:rsid w:val="0072305C"/>
    <w:rsid w:val="00735C64"/>
    <w:rsid w:val="0074735B"/>
    <w:rsid w:val="00750711"/>
    <w:rsid w:val="007A23E7"/>
    <w:rsid w:val="007F1590"/>
    <w:rsid w:val="008102C2"/>
    <w:rsid w:val="00833B4D"/>
    <w:rsid w:val="00836BCA"/>
    <w:rsid w:val="0085185F"/>
    <w:rsid w:val="00884C9B"/>
    <w:rsid w:val="00885FDF"/>
    <w:rsid w:val="008A6123"/>
    <w:rsid w:val="008B0DF1"/>
    <w:rsid w:val="008F21F3"/>
    <w:rsid w:val="00901039"/>
    <w:rsid w:val="00914055"/>
    <w:rsid w:val="009448B6"/>
    <w:rsid w:val="00955732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91AE5"/>
    <w:rsid w:val="00B14EFC"/>
    <w:rsid w:val="00B239C8"/>
    <w:rsid w:val="00B25DC7"/>
    <w:rsid w:val="00B4489A"/>
    <w:rsid w:val="00B46226"/>
    <w:rsid w:val="00BA2952"/>
    <w:rsid w:val="00BB4E9C"/>
    <w:rsid w:val="00BC7628"/>
    <w:rsid w:val="00BE7C83"/>
    <w:rsid w:val="00C3481C"/>
    <w:rsid w:val="00C41489"/>
    <w:rsid w:val="00C57A84"/>
    <w:rsid w:val="00C96650"/>
    <w:rsid w:val="00CC1156"/>
    <w:rsid w:val="00CE15DD"/>
    <w:rsid w:val="00CE51AC"/>
    <w:rsid w:val="00CF5C8F"/>
    <w:rsid w:val="00D10787"/>
    <w:rsid w:val="00D14725"/>
    <w:rsid w:val="00D51730"/>
    <w:rsid w:val="00D81D7D"/>
    <w:rsid w:val="00D82FFF"/>
    <w:rsid w:val="00D94CD2"/>
    <w:rsid w:val="00DB3FE8"/>
    <w:rsid w:val="00DB5A6D"/>
    <w:rsid w:val="00DD704F"/>
    <w:rsid w:val="00DF57F3"/>
    <w:rsid w:val="00DF7EF6"/>
    <w:rsid w:val="00E03C02"/>
    <w:rsid w:val="00E23DE8"/>
    <w:rsid w:val="00E33B63"/>
    <w:rsid w:val="00E34F0B"/>
    <w:rsid w:val="00E443B6"/>
    <w:rsid w:val="00E90405"/>
    <w:rsid w:val="00EA6D27"/>
    <w:rsid w:val="00EA7C0F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D5AA5-FA0B-4C7D-8E4A-7C62AE2E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TableGrid">
    <w:name w:val="Table Grid"/>
    <w:basedOn w:val="TableNormal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Korisnik</cp:lastModifiedBy>
  <cp:revision>2</cp:revision>
  <cp:lastPrinted>2013-05-23T09:48:00Z</cp:lastPrinted>
  <dcterms:created xsi:type="dcterms:W3CDTF">2019-02-06T07:30:00Z</dcterms:created>
  <dcterms:modified xsi:type="dcterms:W3CDTF">2019-02-06T07:30:00Z</dcterms:modified>
</cp:coreProperties>
</file>