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08"/>
        <w:gridCol w:w="4264"/>
      </w:tblGrid>
      <w:tr w:rsidR="00C57A84" w:rsidRPr="00DB5A6D" w:rsidTr="00DB5A6D">
        <w:tc>
          <w:tcPr>
            <w:tcW w:w="4928" w:type="dxa"/>
          </w:tcPr>
          <w:p w:rsidR="00C57A84" w:rsidRPr="00DB5A6D" w:rsidRDefault="00C57A84" w:rsidP="00DB5A6D">
            <w:pPr>
              <w:spacing w:line="276" w:lineRule="auto"/>
              <w:rPr>
                <w:sz w:val="22"/>
                <w:szCs w:val="22"/>
              </w:rPr>
            </w:pPr>
            <w:bookmarkStart w:id="0" w:name="_GoBack"/>
            <w:bookmarkEnd w:id="0"/>
            <w:r w:rsidRPr="00DB5A6D">
              <w:rPr>
                <w:sz w:val="22"/>
                <w:szCs w:val="22"/>
              </w:rPr>
              <w:t>Nazi</w:t>
            </w:r>
            <w:r w:rsidR="00ED5E12">
              <w:rPr>
                <w:sz w:val="22"/>
                <w:szCs w:val="22"/>
              </w:rPr>
              <w:t>v obveznika: Javna ustanova – SPORTSKI OBJEKTI POŽEGA</w:t>
            </w:r>
          </w:p>
        </w:tc>
        <w:tc>
          <w:tcPr>
            <w:tcW w:w="4360" w:type="dxa"/>
          </w:tcPr>
          <w:p w:rsidR="00C57A84" w:rsidRPr="00DB5A6D" w:rsidRDefault="00CD53F8" w:rsidP="00DB5A6D">
            <w:pPr>
              <w:spacing w:line="276" w:lineRule="auto"/>
              <w:rPr>
                <w:sz w:val="22"/>
                <w:szCs w:val="22"/>
              </w:rPr>
            </w:pPr>
            <w:r>
              <w:rPr>
                <w:sz w:val="22"/>
                <w:szCs w:val="22"/>
              </w:rPr>
              <w:t>Broj RKP-a: 48347</w:t>
            </w:r>
          </w:p>
        </w:tc>
      </w:tr>
      <w:tr w:rsidR="00C57A84" w:rsidRPr="00DB5A6D" w:rsidTr="00DB5A6D">
        <w:tc>
          <w:tcPr>
            <w:tcW w:w="4928" w:type="dxa"/>
          </w:tcPr>
          <w:p w:rsidR="00C57A84" w:rsidRPr="00DB5A6D" w:rsidRDefault="00C57A84" w:rsidP="00DB5A6D">
            <w:pPr>
              <w:spacing w:line="276" w:lineRule="auto"/>
              <w:rPr>
                <w:sz w:val="22"/>
                <w:szCs w:val="22"/>
              </w:rPr>
            </w:pPr>
            <w:r w:rsidRPr="00DB5A6D">
              <w:rPr>
                <w:sz w:val="22"/>
                <w:szCs w:val="22"/>
              </w:rPr>
              <w:t>Sjedište obveznika: 34000 Požega</w:t>
            </w:r>
          </w:p>
        </w:tc>
        <w:tc>
          <w:tcPr>
            <w:tcW w:w="4360" w:type="dxa"/>
          </w:tcPr>
          <w:p w:rsidR="00C57A84" w:rsidRPr="00DB5A6D" w:rsidRDefault="00CD53F8" w:rsidP="00DB5A6D">
            <w:pPr>
              <w:spacing w:line="276" w:lineRule="auto"/>
              <w:rPr>
                <w:sz w:val="22"/>
                <w:szCs w:val="22"/>
              </w:rPr>
            </w:pPr>
            <w:r>
              <w:rPr>
                <w:sz w:val="22"/>
                <w:szCs w:val="22"/>
              </w:rPr>
              <w:t>Matični broj: 04240979</w:t>
            </w:r>
          </w:p>
        </w:tc>
      </w:tr>
      <w:tr w:rsidR="00C57A84" w:rsidRPr="00DB5A6D" w:rsidTr="00DB5A6D">
        <w:tc>
          <w:tcPr>
            <w:tcW w:w="4928" w:type="dxa"/>
          </w:tcPr>
          <w:p w:rsidR="00C57A84" w:rsidRPr="00DB5A6D" w:rsidRDefault="00C57A84" w:rsidP="00DB5A6D">
            <w:pPr>
              <w:spacing w:line="276" w:lineRule="auto"/>
              <w:rPr>
                <w:sz w:val="22"/>
                <w:szCs w:val="22"/>
              </w:rPr>
            </w:pPr>
            <w:r w:rsidRPr="00DB5A6D">
              <w:rPr>
                <w:sz w:val="22"/>
                <w:szCs w:val="22"/>
              </w:rPr>
              <w:t>Adres</w:t>
            </w:r>
            <w:r w:rsidR="00ED5E12">
              <w:rPr>
                <w:sz w:val="22"/>
                <w:szCs w:val="22"/>
              </w:rPr>
              <w:t>a sjedišta obveznika: Antuna Kanižlića 14a</w:t>
            </w:r>
          </w:p>
        </w:tc>
        <w:tc>
          <w:tcPr>
            <w:tcW w:w="4360" w:type="dxa"/>
          </w:tcPr>
          <w:p w:rsidR="00C57A84" w:rsidRPr="00DB5A6D" w:rsidRDefault="00CD53F8" w:rsidP="00DB5A6D">
            <w:pPr>
              <w:spacing w:line="276" w:lineRule="auto"/>
              <w:rPr>
                <w:sz w:val="22"/>
                <w:szCs w:val="22"/>
              </w:rPr>
            </w:pPr>
            <w:r>
              <w:rPr>
                <w:sz w:val="22"/>
                <w:szCs w:val="22"/>
              </w:rPr>
              <w:t>OIB: 33155407334</w:t>
            </w:r>
          </w:p>
        </w:tc>
      </w:tr>
      <w:tr w:rsidR="00C57A84" w:rsidRPr="00DB5A6D" w:rsidTr="00DB5A6D">
        <w:tc>
          <w:tcPr>
            <w:tcW w:w="4928" w:type="dxa"/>
          </w:tcPr>
          <w:p w:rsidR="00C57A84" w:rsidRPr="00DB5A6D" w:rsidRDefault="00C57A84" w:rsidP="00DB5A6D">
            <w:pPr>
              <w:spacing w:line="276" w:lineRule="auto"/>
              <w:rPr>
                <w:sz w:val="22"/>
                <w:szCs w:val="22"/>
              </w:rPr>
            </w:pPr>
            <w:r w:rsidRPr="00DB5A6D">
              <w:rPr>
                <w:sz w:val="22"/>
                <w:szCs w:val="22"/>
              </w:rPr>
              <w:t xml:space="preserve">Razina: 21 </w:t>
            </w:r>
          </w:p>
        </w:tc>
        <w:tc>
          <w:tcPr>
            <w:tcW w:w="4360" w:type="dxa"/>
          </w:tcPr>
          <w:p w:rsidR="00C57A84" w:rsidRPr="00DB5A6D" w:rsidRDefault="00C57A84" w:rsidP="00DB5A6D">
            <w:pPr>
              <w:spacing w:line="276" w:lineRule="auto"/>
              <w:rPr>
                <w:sz w:val="22"/>
                <w:szCs w:val="22"/>
              </w:rPr>
            </w:pPr>
            <w:r w:rsidRPr="00DB5A6D">
              <w:rPr>
                <w:sz w:val="22"/>
                <w:szCs w:val="22"/>
              </w:rPr>
              <w:t>Šif</w:t>
            </w:r>
            <w:r w:rsidR="00CD53F8">
              <w:rPr>
                <w:sz w:val="22"/>
                <w:szCs w:val="22"/>
              </w:rPr>
              <w:t>ra djelatnosti prema NKD-u: 9311</w:t>
            </w:r>
          </w:p>
        </w:tc>
      </w:tr>
    </w:tbl>
    <w:p w:rsidR="00987E65" w:rsidRDefault="00987E65" w:rsidP="00A13F7D">
      <w:pPr>
        <w:spacing w:line="276" w:lineRule="auto"/>
        <w:rPr>
          <w:b/>
          <w:sz w:val="22"/>
          <w:szCs w:val="22"/>
        </w:rPr>
      </w:pPr>
    </w:p>
    <w:p w:rsidR="001B4BFB" w:rsidRPr="00987E65" w:rsidRDefault="001B4BFB" w:rsidP="00A13F7D">
      <w:pPr>
        <w:spacing w:line="276" w:lineRule="auto"/>
        <w:rPr>
          <w:b/>
          <w:sz w:val="22"/>
          <w:szCs w:val="22"/>
        </w:rPr>
      </w:pPr>
    </w:p>
    <w:p w:rsidR="001B4BFB" w:rsidRDefault="00987E65" w:rsidP="001B4BFB">
      <w:pPr>
        <w:spacing w:line="276" w:lineRule="auto"/>
        <w:jc w:val="center"/>
        <w:rPr>
          <w:b/>
          <w:sz w:val="22"/>
          <w:szCs w:val="22"/>
        </w:rPr>
      </w:pPr>
      <w:r>
        <w:rPr>
          <w:b/>
          <w:sz w:val="22"/>
          <w:szCs w:val="22"/>
        </w:rPr>
        <w:t xml:space="preserve">BILJEŠKE UZ FINANCIJSKE IZVJEŠTAJE </w:t>
      </w:r>
    </w:p>
    <w:p w:rsidR="00987E65" w:rsidRDefault="001B4BFB" w:rsidP="001B4BFB">
      <w:pPr>
        <w:spacing w:line="276" w:lineRule="auto"/>
        <w:jc w:val="center"/>
        <w:rPr>
          <w:b/>
          <w:sz w:val="22"/>
          <w:szCs w:val="22"/>
        </w:rPr>
      </w:pPr>
      <w:r>
        <w:rPr>
          <w:b/>
          <w:sz w:val="22"/>
          <w:szCs w:val="22"/>
        </w:rPr>
        <w:t xml:space="preserve">za razdoblje od 1. siječnja do 31. prosinca </w:t>
      </w:r>
      <w:r w:rsidR="00987E65">
        <w:rPr>
          <w:b/>
          <w:sz w:val="22"/>
          <w:szCs w:val="22"/>
        </w:rPr>
        <w:t xml:space="preserve">2018. </w:t>
      </w:r>
      <w:r>
        <w:rPr>
          <w:b/>
          <w:sz w:val="22"/>
          <w:szCs w:val="22"/>
        </w:rPr>
        <w:t>godine</w:t>
      </w:r>
    </w:p>
    <w:p w:rsidR="00CD53F8" w:rsidRDefault="00CD53F8" w:rsidP="00B14EFC">
      <w:pPr>
        <w:jc w:val="both"/>
        <w:rPr>
          <w:sz w:val="22"/>
          <w:szCs w:val="22"/>
        </w:rPr>
      </w:pPr>
    </w:p>
    <w:p w:rsidR="00CD53F8" w:rsidRDefault="00CD53F8" w:rsidP="00B14EFC">
      <w:pPr>
        <w:jc w:val="both"/>
        <w:rPr>
          <w:sz w:val="22"/>
          <w:szCs w:val="22"/>
        </w:rPr>
      </w:pPr>
    </w:p>
    <w:p w:rsidR="003D3993" w:rsidRPr="00CD53F8" w:rsidRDefault="00CD53F8" w:rsidP="00B14EFC">
      <w:pPr>
        <w:jc w:val="both"/>
        <w:rPr>
          <w:sz w:val="22"/>
          <w:szCs w:val="22"/>
        </w:rPr>
      </w:pPr>
      <w:r>
        <w:rPr>
          <w:sz w:val="22"/>
          <w:szCs w:val="22"/>
        </w:rPr>
        <w:t xml:space="preserve">Odlukom Upravnom vijeća od 29.12.2017., Anto Brkić, dipl. soc. radnik od 02.01.2018., imenuje se za vršitelja dužnosti ravnatelja Javne ustanove – SPRORTSKI OBJEKTI POŽEGA. Isti se odlukom Upravnom vijeća 16.04.2018. imenuje Ravnateljem Javne ustanove na mandat od četiri godine. </w:t>
      </w:r>
    </w:p>
    <w:p w:rsidR="00CD53F8" w:rsidRDefault="00CD53F8" w:rsidP="003D3993">
      <w:pPr>
        <w:jc w:val="both"/>
        <w:rPr>
          <w:b/>
          <w:sz w:val="22"/>
          <w:szCs w:val="22"/>
        </w:rPr>
      </w:pPr>
    </w:p>
    <w:p w:rsidR="003D3993" w:rsidRDefault="003D3993" w:rsidP="003D3993">
      <w:pPr>
        <w:jc w:val="both"/>
        <w:rPr>
          <w:b/>
          <w:sz w:val="22"/>
          <w:szCs w:val="22"/>
        </w:rPr>
      </w:pPr>
      <w:r w:rsidRPr="003D3993">
        <w:rPr>
          <w:b/>
          <w:sz w:val="22"/>
          <w:szCs w:val="22"/>
        </w:rPr>
        <w:t>BILJEŠKE UZ BILANCU</w:t>
      </w:r>
    </w:p>
    <w:p w:rsidR="003D3993" w:rsidRDefault="003D3993" w:rsidP="003D3993">
      <w:pPr>
        <w:jc w:val="both"/>
        <w:rPr>
          <w:b/>
          <w:sz w:val="22"/>
          <w:szCs w:val="22"/>
        </w:rPr>
      </w:pPr>
    </w:p>
    <w:p w:rsidR="00EC09A4" w:rsidRDefault="00EC09A4" w:rsidP="00EC09A4">
      <w:pPr>
        <w:jc w:val="both"/>
        <w:rPr>
          <w:sz w:val="22"/>
          <w:szCs w:val="22"/>
        </w:rPr>
      </w:pPr>
      <w:r w:rsidRPr="00EC09A4">
        <w:rPr>
          <w:sz w:val="22"/>
          <w:szCs w:val="22"/>
        </w:rPr>
        <w:t>1.</w:t>
      </w:r>
      <w:r>
        <w:rPr>
          <w:sz w:val="22"/>
          <w:szCs w:val="22"/>
        </w:rPr>
        <w:t xml:space="preserve"> </w:t>
      </w:r>
      <w:r w:rsidR="00833B4D">
        <w:rPr>
          <w:sz w:val="22"/>
          <w:szCs w:val="22"/>
        </w:rPr>
        <w:t>AOP 021</w:t>
      </w:r>
      <w:r w:rsidR="00964D71">
        <w:rPr>
          <w:sz w:val="22"/>
          <w:szCs w:val="22"/>
        </w:rPr>
        <w:t xml:space="preserve"> –</w:t>
      </w:r>
      <w:r w:rsidR="00833B4D">
        <w:rPr>
          <w:sz w:val="22"/>
          <w:szCs w:val="22"/>
        </w:rPr>
        <w:t xml:space="preserve"> Uređaji, strojevi i oprema za ostale namjene</w:t>
      </w:r>
      <w:r w:rsidR="00964D71">
        <w:rPr>
          <w:sz w:val="22"/>
          <w:szCs w:val="22"/>
        </w:rPr>
        <w:t xml:space="preserve"> – </w:t>
      </w:r>
      <w:r w:rsidR="00CD53F8">
        <w:rPr>
          <w:sz w:val="22"/>
          <w:szCs w:val="22"/>
        </w:rPr>
        <w:t xml:space="preserve">tijekom godine, nabavljena je nova oprema u vrijednosti 35.265 kn. Nabavljena oprema sastoji se od sredstava za košnju i održavanja okoliša rekreacijskih i sportskih terene što je glavna djelatnosti ustanove. </w:t>
      </w:r>
    </w:p>
    <w:p w:rsidR="00EC09A4" w:rsidRPr="00EC09A4" w:rsidRDefault="00EC09A4" w:rsidP="00EC09A4">
      <w:pPr>
        <w:jc w:val="both"/>
        <w:rPr>
          <w:sz w:val="22"/>
          <w:szCs w:val="22"/>
        </w:rPr>
      </w:pPr>
      <w:r>
        <w:rPr>
          <w:sz w:val="22"/>
          <w:szCs w:val="22"/>
        </w:rPr>
        <w:t xml:space="preserve">2. AOP 025 – Prijevozna sredstva u cestovnom prometu – tijekom godine, kupljeno je novo prijevozno sredstvo, vozilo marke Peugeot Partner u vrijednosti 79.999 kn. Zbog njihove dotrajalosti, automobil marke Fiat Uno prodan je putem licitacije za 600 kn, uknjiženje vrijednosti 3.000 kn, dok je kombi marke VOLKSWAGEN zbrinut na ekološki prihvatljiv način – njegova je vrijednost bila 7.000 kn. Oba isknjižena automobila bila su darovana od strane Doma zdravlja, uknjiženja prema procijenjenoj vrijednosti, u dosta lošem i istrošenom stanju. Stoga smo se odlučili za nabavu novog, dok smo stara zbrinuli na </w:t>
      </w:r>
      <w:r w:rsidR="000411FD">
        <w:rPr>
          <w:sz w:val="22"/>
          <w:szCs w:val="22"/>
        </w:rPr>
        <w:t xml:space="preserve">najbolji način. </w:t>
      </w:r>
    </w:p>
    <w:p w:rsidR="003C012F" w:rsidRDefault="009279F4" w:rsidP="0055551D">
      <w:pPr>
        <w:jc w:val="both"/>
        <w:rPr>
          <w:sz w:val="22"/>
          <w:szCs w:val="22"/>
        </w:rPr>
      </w:pPr>
      <w:r>
        <w:rPr>
          <w:sz w:val="22"/>
          <w:szCs w:val="22"/>
        </w:rPr>
        <w:t>3</w:t>
      </w:r>
      <w:r w:rsidR="003C012F">
        <w:rPr>
          <w:sz w:val="22"/>
          <w:szCs w:val="22"/>
        </w:rPr>
        <w:t xml:space="preserve">. AOP 049 – Sitni inventar u upotrebi – nabavljen je sitni inventar u vrijednosti </w:t>
      </w:r>
      <w:r w:rsidR="000411FD">
        <w:rPr>
          <w:sz w:val="22"/>
          <w:szCs w:val="22"/>
        </w:rPr>
        <w:t xml:space="preserve">5.802 kn. Sredstva se većinom odnose na alate i pomagala za održavanja sportskih i rekreacijskih terene. </w:t>
      </w:r>
    </w:p>
    <w:p w:rsidR="000411FD" w:rsidRDefault="000411FD" w:rsidP="0055551D">
      <w:pPr>
        <w:jc w:val="both"/>
        <w:rPr>
          <w:sz w:val="22"/>
          <w:szCs w:val="22"/>
        </w:rPr>
      </w:pPr>
      <w:r>
        <w:rPr>
          <w:sz w:val="22"/>
          <w:szCs w:val="22"/>
        </w:rPr>
        <w:t>4. AOP 080 – Ostala potraživanja – iznos 6.456 kn odnosi se na potraživanje za bolovanje od HZZO-a</w:t>
      </w:r>
    </w:p>
    <w:p w:rsidR="000411FD" w:rsidRDefault="000411FD" w:rsidP="0055551D">
      <w:pPr>
        <w:jc w:val="both"/>
        <w:rPr>
          <w:sz w:val="22"/>
          <w:szCs w:val="22"/>
        </w:rPr>
      </w:pPr>
      <w:r>
        <w:rPr>
          <w:sz w:val="22"/>
          <w:szCs w:val="22"/>
        </w:rPr>
        <w:t xml:space="preserve">5. AOP 153 – Potraživanje za prihode od prodaje proizvoda i roba te pruženih usluga – Javna ustanova iznajmljuje svoje prostore osnovnim školama za održavanje tjelesnog odgoja, te raznim ustanovama koje ukažu potrebu za korištenjem sportskih dvorana kojima Javna ustanova raspolaže. Iako nije značajan prihod, Javna ustanova daje u zakup poslovan prostor na svojim sportskim i rekreacijskim terenima, ove je godine iznajmljen poslovni  prostor na kuglani (kafić), koji je povećao prihod. Na ukupno povećanje od </w:t>
      </w:r>
      <w:r w:rsidR="009279F4">
        <w:rPr>
          <w:sz w:val="22"/>
          <w:szCs w:val="22"/>
        </w:rPr>
        <w:t xml:space="preserve">53.654 kn utjecao je i češći najam dvorana od strana osnovnih škola. </w:t>
      </w:r>
    </w:p>
    <w:p w:rsidR="00964D71" w:rsidRDefault="009279F4" w:rsidP="0055551D">
      <w:pPr>
        <w:jc w:val="both"/>
        <w:rPr>
          <w:sz w:val="22"/>
          <w:szCs w:val="22"/>
        </w:rPr>
      </w:pPr>
      <w:r>
        <w:rPr>
          <w:sz w:val="22"/>
          <w:szCs w:val="22"/>
        </w:rPr>
        <w:t>6</w:t>
      </w:r>
      <w:r w:rsidR="00964D71">
        <w:rPr>
          <w:sz w:val="22"/>
          <w:szCs w:val="22"/>
        </w:rPr>
        <w:t>. AOP 154 – Korisnik posluje preko lokalne riznice. Na jedinstveni račun riznice uplaćuju se svi prihodi i primici proračunskog korisnika. Isplata plaća kao i isplata tekućih i kapitalnih rashoda obavlja se preko riznice što je evidentirano na računu 167210. Stanje računa 31. prosinca iz</w:t>
      </w:r>
      <w:r>
        <w:rPr>
          <w:sz w:val="22"/>
          <w:szCs w:val="22"/>
        </w:rPr>
        <w:t>nosi 126.968</w:t>
      </w:r>
      <w:r w:rsidR="00964D71">
        <w:rPr>
          <w:sz w:val="22"/>
          <w:szCs w:val="22"/>
        </w:rPr>
        <w:t xml:space="preserve"> kn.</w:t>
      </w:r>
    </w:p>
    <w:p w:rsidR="00964D71" w:rsidRDefault="009279F4" w:rsidP="0055551D">
      <w:pPr>
        <w:jc w:val="both"/>
        <w:rPr>
          <w:sz w:val="22"/>
          <w:szCs w:val="22"/>
        </w:rPr>
      </w:pPr>
      <w:r>
        <w:rPr>
          <w:sz w:val="22"/>
          <w:szCs w:val="22"/>
        </w:rPr>
        <w:t>7</w:t>
      </w:r>
      <w:r w:rsidR="00964D71">
        <w:rPr>
          <w:sz w:val="22"/>
          <w:szCs w:val="22"/>
        </w:rPr>
        <w:t xml:space="preserve">. AOP </w:t>
      </w:r>
      <w:r w:rsidR="003C012F">
        <w:rPr>
          <w:sz w:val="22"/>
          <w:szCs w:val="22"/>
        </w:rPr>
        <w:t xml:space="preserve">156 – Ispravak vrijednosti potraživanja </w:t>
      </w:r>
      <w:r w:rsidR="000551AE">
        <w:rPr>
          <w:sz w:val="22"/>
          <w:szCs w:val="22"/>
        </w:rPr>
        <w:t>–</w:t>
      </w:r>
      <w:r w:rsidR="003C012F">
        <w:rPr>
          <w:sz w:val="22"/>
          <w:szCs w:val="22"/>
        </w:rPr>
        <w:t xml:space="preserve"> </w:t>
      </w:r>
      <w:r w:rsidR="000551AE">
        <w:rPr>
          <w:sz w:val="22"/>
          <w:szCs w:val="22"/>
        </w:rPr>
        <w:t xml:space="preserve">prema izmjena i dopunama Pravilnika o proračunskom računovodstvu, propisana je obveza provođenja ispravka vrijednosti potraživanja, onih od 1 do 3 godine 50 %, te onih starijih od 3 godine 100 %. Tako ukupan iznos otpisa potraživanja </w:t>
      </w:r>
      <w:r>
        <w:rPr>
          <w:sz w:val="22"/>
          <w:szCs w:val="22"/>
        </w:rPr>
        <w:t xml:space="preserve">nenaplaćenih od godine do tri </w:t>
      </w:r>
      <w:r w:rsidR="000551AE">
        <w:rPr>
          <w:sz w:val="22"/>
          <w:szCs w:val="22"/>
        </w:rPr>
        <w:t>i</w:t>
      </w:r>
      <w:r>
        <w:rPr>
          <w:sz w:val="22"/>
          <w:szCs w:val="22"/>
        </w:rPr>
        <w:t>znosi 8.020 kn</w:t>
      </w:r>
    </w:p>
    <w:p w:rsidR="000551AE" w:rsidRDefault="009279F4" w:rsidP="0055551D">
      <w:pPr>
        <w:jc w:val="both"/>
        <w:rPr>
          <w:sz w:val="22"/>
          <w:szCs w:val="22"/>
        </w:rPr>
      </w:pPr>
      <w:r>
        <w:rPr>
          <w:sz w:val="22"/>
          <w:szCs w:val="22"/>
        </w:rPr>
        <w:t>8</w:t>
      </w:r>
      <w:r w:rsidR="000551AE">
        <w:rPr>
          <w:sz w:val="22"/>
          <w:szCs w:val="22"/>
        </w:rPr>
        <w:t xml:space="preserve">. AOP 166 – Obveze za materijalne rashode – ove su obveze </w:t>
      </w:r>
      <w:r>
        <w:rPr>
          <w:sz w:val="22"/>
          <w:szCs w:val="22"/>
        </w:rPr>
        <w:t xml:space="preserve">veće za 38.423 kn. Na povećanje je utjecalo dodatno ulaganje u održavanje sportskih terena i rekreacijskog centra. </w:t>
      </w:r>
    </w:p>
    <w:p w:rsidR="00964D71" w:rsidRDefault="009279F4" w:rsidP="0055551D">
      <w:pPr>
        <w:jc w:val="both"/>
        <w:rPr>
          <w:sz w:val="22"/>
          <w:szCs w:val="22"/>
        </w:rPr>
      </w:pPr>
      <w:r>
        <w:rPr>
          <w:sz w:val="22"/>
          <w:szCs w:val="22"/>
        </w:rPr>
        <w:t>9</w:t>
      </w:r>
      <w:r w:rsidR="00964D71">
        <w:rPr>
          <w:sz w:val="22"/>
          <w:szCs w:val="22"/>
        </w:rPr>
        <w:t xml:space="preserve">. </w:t>
      </w:r>
      <w:r>
        <w:rPr>
          <w:sz w:val="22"/>
          <w:szCs w:val="22"/>
        </w:rPr>
        <w:t xml:space="preserve">Javna ustanova – SPORTSKI OBJEKTI </w:t>
      </w:r>
      <w:r w:rsidR="00964D71">
        <w:rPr>
          <w:sz w:val="22"/>
          <w:szCs w:val="22"/>
        </w:rPr>
        <w:t xml:space="preserve">nema sudskih sporova u </w:t>
      </w:r>
      <w:r w:rsidR="000551AE">
        <w:rPr>
          <w:sz w:val="22"/>
          <w:szCs w:val="22"/>
        </w:rPr>
        <w:t>tijeku.</w:t>
      </w:r>
    </w:p>
    <w:p w:rsidR="00964D71" w:rsidRDefault="00964D71" w:rsidP="0055551D">
      <w:pPr>
        <w:jc w:val="both"/>
        <w:rPr>
          <w:sz w:val="22"/>
          <w:szCs w:val="22"/>
        </w:rPr>
      </w:pPr>
    </w:p>
    <w:p w:rsidR="00E34F0B" w:rsidRDefault="00E34F0B" w:rsidP="0055551D">
      <w:pPr>
        <w:jc w:val="both"/>
        <w:rPr>
          <w:b/>
          <w:sz w:val="22"/>
          <w:szCs w:val="22"/>
        </w:rPr>
      </w:pPr>
      <w:r>
        <w:rPr>
          <w:b/>
          <w:sz w:val="22"/>
          <w:szCs w:val="22"/>
        </w:rPr>
        <w:t>BILJEŠKE UZ PR-RAS</w:t>
      </w:r>
    </w:p>
    <w:p w:rsidR="00E34F0B" w:rsidRDefault="00E34F0B" w:rsidP="0055551D">
      <w:pPr>
        <w:jc w:val="both"/>
        <w:rPr>
          <w:sz w:val="22"/>
          <w:szCs w:val="22"/>
        </w:rPr>
      </w:pPr>
    </w:p>
    <w:p w:rsidR="004322A3" w:rsidRDefault="00373968" w:rsidP="00373968">
      <w:pPr>
        <w:jc w:val="both"/>
        <w:rPr>
          <w:sz w:val="22"/>
          <w:szCs w:val="22"/>
        </w:rPr>
      </w:pPr>
      <w:r w:rsidRPr="00373968">
        <w:rPr>
          <w:sz w:val="22"/>
          <w:szCs w:val="22"/>
        </w:rPr>
        <w:t>1.</w:t>
      </w:r>
      <w:r>
        <w:rPr>
          <w:sz w:val="22"/>
          <w:szCs w:val="22"/>
        </w:rPr>
        <w:t xml:space="preserve"> </w:t>
      </w:r>
      <w:r w:rsidR="000D2A8F">
        <w:rPr>
          <w:sz w:val="22"/>
          <w:szCs w:val="22"/>
        </w:rPr>
        <w:t xml:space="preserve">AOP </w:t>
      </w:r>
      <w:r w:rsidR="004322A3">
        <w:rPr>
          <w:sz w:val="22"/>
          <w:szCs w:val="22"/>
        </w:rPr>
        <w:t>1</w:t>
      </w:r>
      <w:r w:rsidR="00885FDF">
        <w:rPr>
          <w:sz w:val="22"/>
          <w:szCs w:val="22"/>
        </w:rPr>
        <w:t>16</w:t>
      </w:r>
      <w:r w:rsidR="004322A3">
        <w:rPr>
          <w:sz w:val="22"/>
          <w:szCs w:val="22"/>
        </w:rPr>
        <w:t xml:space="preserve"> – </w:t>
      </w:r>
      <w:r w:rsidR="00885FDF">
        <w:rPr>
          <w:sz w:val="22"/>
          <w:szCs w:val="22"/>
        </w:rPr>
        <w:t>Ostali nespomenuti prihod</w:t>
      </w:r>
      <w:r w:rsidR="004322A3">
        <w:rPr>
          <w:sz w:val="22"/>
          <w:szCs w:val="22"/>
        </w:rPr>
        <w:t xml:space="preserve"> – </w:t>
      </w:r>
      <w:r w:rsidR="009279F4">
        <w:rPr>
          <w:sz w:val="22"/>
          <w:szCs w:val="22"/>
        </w:rPr>
        <w:t xml:space="preserve">tijekom 2018. godine, ostvaren je prihod od osiguranja 15.029 kn. Prihod je ostvaren zbog sanacije toplovoda. </w:t>
      </w:r>
    </w:p>
    <w:p w:rsidR="00373968" w:rsidRDefault="00373968" w:rsidP="00373968">
      <w:pPr>
        <w:jc w:val="both"/>
        <w:rPr>
          <w:sz w:val="22"/>
          <w:szCs w:val="22"/>
        </w:rPr>
      </w:pPr>
      <w:r>
        <w:rPr>
          <w:sz w:val="22"/>
          <w:szCs w:val="22"/>
        </w:rPr>
        <w:t xml:space="preserve">2. AOP 126 – Prihodi od pruženih usluga – Javna ustanova, kao ustanova koja upravlja rekreacijskim i sportskim terenima, tijekom ljeta ostvaruje prihod od ulaznica za bazen (ove je godine prihod manji u </w:t>
      </w:r>
      <w:r>
        <w:rPr>
          <w:sz w:val="22"/>
          <w:szCs w:val="22"/>
        </w:rPr>
        <w:lastRenderedPageBreak/>
        <w:t xml:space="preserve">odnosu na prošlu zbog lošijih vremenskih uvjeta) dok tijekom zime ostvaruje prihod od ulaznica za klizalište. Prihod od usluga manji je za 188.243 kn. </w:t>
      </w:r>
    </w:p>
    <w:p w:rsidR="004322A3" w:rsidRDefault="00373968" w:rsidP="000D2A8F">
      <w:pPr>
        <w:jc w:val="both"/>
        <w:rPr>
          <w:sz w:val="22"/>
          <w:szCs w:val="22"/>
        </w:rPr>
      </w:pPr>
      <w:r>
        <w:rPr>
          <w:sz w:val="22"/>
          <w:szCs w:val="22"/>
        </w:rPr>
        <w:t>3. AOP 133</w:t>
      </w:r>
      <w:r w:rsidR="004322A3">
        <w:rPr>
          <w:sz w:val="22"/>
          <w:szCs w:val="22"/>
        </w:rPr>
        <w:t xml:space="preserve"> – Prihodi iz nadležnog proračuna za financiranje </w:t>
      </w:r>
      <w:r>
        <w:rPr>
          <w:sz w:val="22"/>
          <w:szCs w:val="22"/>
        </w:rPr>
        <w:t>rashoda poslovanja</w:t>
      </w:r>
      <w:r w:rsidR="004322A3">
        <w:rPr>
          <w:sz w:val="22"/>
          <w:szCs w:val="22"/>
        </w:rPr>
        <w:t xml:space="preserve"> – </w:t>
      </w:r>
      <w:r>
        <w:rPr>
          <w:sz w:val="22"/>
          <w:szCs w:val="22"/>
        </w:rPr>
        <w:t xml:space="preserve">povećan je u odnosu na prethodnu zbog povećanja koeficijenta plaće koje je stupilo na snagu 01.01.2018., primjenjivo na plaći za siječanj. Uz spomenuto povećanje, Grad je dao više sredstava korisniku zbog sanacije toplovoda koja nije u postupnosti pokrivena od strane osiguranja. </w:t>
      </w:r>
    </w:p>
    <w:p w:rsidR="00373968" w:rsidRDefault="00373968" w:rsidP="000D2A8F">
      <w:pPr>
        <w:jc w:val="both"/>
        <w:rPr>
          <w:sz w:val="22"/>
          <w:szCs w:val="22"/>
        </w:rPr>
      </w:pPr>
      <w:r>
        <w:rPr>
          <w:sz w:val="22"/>
          <w:szCs w:val="22"/>
        </w:rPr>
        <w:t xml:space="preserve">4. AOP 133 – Prihodi iz nadležnog proračuna za financiranje rashoda za nabavu nefinancijske imovine – veći su zbog nabavke, već spomenutoga, novoga vozila. </w:t>
      </w:r>
    </w:p>
    <w:p w:rsidR="00914055" w:rsidRPr="00AC6ADF" w:rsidRDefault="00AC6ADF" w:rsidP="000D2A8F">
      <w:pPr>
        <w:jc w:val="both"/>
        <w:rPr>
          <w:sz w:val="22"/>
          <w:szCs w:val="22"/>
        </w:rPr>
      </w:pPr>
      <w:r>
        <w:rPr>
          <w:sz w:val="22"/>
          <w:szCs w:val="22"/>
        </w:rPr>
        <w:t>5</w:t>
      </w:r>
      <w:r w:rsidR="004322A3">
        <w:rPr>
          <w:sz w:val="22"/>
          <w:szCs w:val="22"/>
        </w:rPr>
        <w:t xml:space="preserve">. AOP 149 </w:t>
      </w:r>
      <w:r w:rsidR="00914055" w:rsidRPr="00AC6ADF">
        <w:rPr>
          <w:sz w:val="22"/>
          <w:szCs w:val="22"/>
        </w:rPr>
        <w:t>–</w:t>
      </w:r>
      <w:r w:rsidR="004322A3" w:rsidRPr="00AC6ADF">
        <w:rPr>
          <w:sz w:val="22"/>
          <w:szCs w:val="22"/>
        </w:rPr>
        <w:t xml:space="preserve"> </w:t>
      </w:r>
      <w:r w:rsidR="00914055" w:rsidRPr="00AC6ADF">
        <w:rPr>
          <w:sz w:val="22"/>
          <w:szCs w:val="22"/>
        </w:rPr>
        <w:t>Rashodi za zaposlene – povećanje</w:t>
      </w:r>
      <w:r w:rsidR="00373968" w:rsidRPr="00AC6ADF">
        <w:rPr>
          <w:sz w:val="22"/>
          <w:szCs w:val="22"/>
        </w:rPr>
        <w:t xml:space="preserve"> u odnosu na prethodnu godinu</w:t>
      </w:r>
      <w:r w:rsidR="00914055" w:rsidRPr="00AC6ADF">
        <w:rPr>
          <w:sz w:val="22"/>
          <w:szCs w:val="22"/>
        </w:rPr>
        <w:t xml:space="preserve"> odnosi</w:t>
      </w:r>
      <w:r w:rsidR="00373968" w:rsidRPr="00AC6ADF">
        <w:rPr>
          <w:sz w:val="22"/>
          <w:szCs w:val="22"/>
        </w:rPr>
        <w:t xml:space="preserve"> se na povećanja plaće radi</w:t>
      </w:r>
      <w:r w:rsidR="00914055" w:rsidRPr="00AC6ADF">
        <w:rPr>
          <w:sz w:val="22"/>
          <w:szCs w:val="22"/>
        </w:rPr>
        <w:t xml:space="preserve"> povećanjem koeficijenata</w:t>
      </w:r>
      <w:r w:rsidR="00373968" w:rsidRPr="00AC6ADF">
        <w:rPr>
          <w:sz w:val="22"/>
          <w:szCs w:val="22"/>
        </w:rPr>
        <w:t>.</w:t>
      </w:r>
      <w:r w:rsidR="00914055" w:rsidRPr="00AC6ADF">
        <w:rPr>
          <w:sz w:val="22"/>
          <w:szCs w:val="22"/>
        </w:rPr>
        <w:t xml:space="preserve"> </w:t>
      </w:r>
    </w:p>
    <w:p w:rsidR="00914055" w:rsidRDefault="00914055" w:rsidP="000D2A8F">
      <w:pPr>
        <w:jc w:val="both"/>
        <w:rPr>
          <w:sz w:val="22"/>
          <w:szCs w:val="22"/>
        </w:rPr>
      </w:pPr>
      <w:r w:rsidRPr="00AC6ADF">
        <w:rPr>
          <w:sz w:val="22"/>
          <w:szCs w:val="22"/>
        </w:rPr>
        <w:t xml:space="preserve">6. AOP </w:t>
      </w:r>
      <w:r w:rsidR="00AC6ADF" w:rsidRPr="00AC6ADF">
        <w:rPr>
          <w:sz w:val="22"/>
          <w:szCs w:val="22"/>
        </w:rPr>
        <w:t xml:space="preserve">169 – Energija – tijekom 2018. godine rashodi za energiju za 117.685 kn. Na povećanje je utjecalo punjenje Gradskih bazena te održavanje klizališta tijekom zime. </w:t>
      </w:r>
    </w:p>
    <w:p w:rsidR="00AC6ADF" w:rsidRDefault="00AC6ADF" w:rsidP="000D2A8F">
      <w:pPr>
        <w:jc w:val="both"/>
        <w:rPr>
          <w:sz w:val="22"/>
          <w:szCs w:val="22"/>
        </w:rPr>
      </w:pPr>
      <w:r>
        <w:rPr>
          <w:sz w:val="22"/>
          <w:szCs w:val="22"/>
        </w:rPr>
        <w:t>7. AOP 176 – Usluga tekućih i investicijskog održavanja – rashodi su veći u odnosu na prethodnu godinu za 321.082 kn radi sanacije toplovoda i servisa Gradskih bazena</w:t>
      </w:r>
    </w:p>
    <w:p w:rsidR="00AC6ADF" w:rsidRDefault="00AC6ADF" w:rsidP="000D2A8F">
      <w:pPr>
        <w:jc w:val="both"/>
        <w:rPr>
          <w:sz w:val="22"/>
          <w:szCs w:val="22"/>
        </w:rPr>
      </w:pPr>
      <w:r>
        <w:rPr>
          <w:sz w:val="22"/>
          <w:szCs w:val="22"/>
        </w:rPr>
        <w:t>8. AOP 179 – Zakupnine i najamnine – ovaj rashod iznosi 133.000 kn i odnosi se na najam opreme za klizalište</w:t>
      </w:r>
    </w:p>
    <w:p w:rsidR="002848E8" w:rsidRPr="00AC6ADF" w:rsidRDefault="002848E8" w:rsidP="000D2A8F">
      <w:pPr>
        <w:jc w:val="both"/>
        <w:rPr>
          <w:sz w:val="22"/>
          <w:szCs w:val="22"/>
        </w:rPr>
      </w:pPr>
      <w:r>
        <w:rPr>
          <w:sz w:val="22"/>
          <w:szCs w:val="22"/>
        </w:rPr>
        <w:t>9. AOP 183 – Ostale usluge – vrijednost rashoda veća je za 83.668 kn, a odnosi se na usluge čišćenja i usluge čuvanja imovine</w:t>
      </w:r>
    </w:p>
    <w:p w:rsidR="00914055" w:rsidRPr="00AC6ADF" w:rsidRDefault="002848E8" w:rsidP="000D2A8F">
      <w:pPr>
        <w:jc w:val="both"/>
        <w:rPr>
          <w:sz w:val="22"/>
          <w:szCs w:val="22"/>
        </w:rPr>
      </w:pPr>
      <w:r>
        <w:rPr>
          <w:sz w:val="22"/>
          <w:szCs w:val="22"/>
        </w:rPr>
        <w:t>10</w:t>
      </w:r>
      <w:r w:rsidR="00914055" w:rsidRPr="00AC6ADF">
        <w:rPr>
          <w:sz w:val="22"/>
          <w:szCs w:val="22"/>
        </w:rPr>
        <w:t>. AOP 6</w:t>
      </w:r>
      <w:r>
        <w:rPr>
          <w:sz w:val="22"/>
          <w:szCs w:val="22"/>
        </w:rPr>
        <w:t>32 do 636 – Javna ustanova – SPORTSKI OBJEKTI</w:t>
      </w:r>
      <w:r w:rsidR="00914055" w:rsidRPr="00AC6ADF">
        <w:rPr>
          <w:sz w:val="22"/>
          <w:szCs w:val="22"/>
        </w:rPr>
        <w:t xml:space="preserve"> </w:t>
      </w:r>
      <w:r w:rsidR="00735C64" w:rsidRPr="00AC6ADF">
        <w:rPr>
          <w:sz w:val="22"/>
          <w:szCs w:val="22"/>
        </w:rPr>
        <w:t xml:space="preserve">ostvario </w:t>
      </w:r>
      <w:r>
        <w:rPr>
          <w:sz w:val="22"/>
          <w:szCs w:val="22"/>
        </w:rPr>
        <w:t>je tekući manjak u iznosu 98.879</w:t>
      </w:r>
      <w:r w:rsidR="00735C64" w:rsidRPr="00AC6ADF">
        <w:rPr>
          <w:sz w:val="22"/>
          <w:szCs w:val="22"/>
        </w:rPr>
        <w:t xml:space="preserve"> kn što sa prenese</w:t>
      </w:r>
      <w:r>
        <w:rPr>
          <w:sz w:val="22"/>
          <w:szCs w:val="22"/>
        </w:rPr>
        <w:t>nim viškom</w:t>
      </w:r>
      <w:r w:rsidR="00735C64" w:rsidRPr="00AC6ADF">
        <w:rPr>
          <w:sz w:val="22"/>
          <w:szCs w:val="22"/>
        </w:rPr>
        <w:t xml:space="preserve"> iz </w:t>
      </w:r>
      <w:r>
        <w:rPr>
          <w:sz w:val="22"/>
          <w:szCs w:val="22"/>
        </w:rPr>
        <w:t>prethodne godine u iznosu 84.580</w:t>
      </w:r>
      <w:r w:rsidR="00735C64" w:rsidRPr="00AC6ADF">
        <w:rPr>
          <w:sz w:val="22"/>
          <w:szCs w:val="22"/>
        </w:rPr>
        <w:t xml:space="preserve"> kn čini </w:t>
      </w:r>
      <w:r>
        <w:rPr>
          <w:sz w:val="22"/>
          <w:szCs w:val="22"/>
        </w:rPr>
        <w:t>konačni rezultat u iznosu 14.299</w:t>
      </w:r>
      <w:r w:rsidR="00735C64" w:rsidRPr="00AC6ADF">
        <w:rPr>
          <w:sz w:val="22"/>
          <w:szCs w:val="22"/>
        </w:rPr>
        <w:t xml:space="preserve"> kn – manjak prihoda i primitaka za pokriće u sljedećem razdoblju.</w:t>
      </w:r>
    </w:p>
    <w:p w:rsidR="00735C64" w:rsidRDefault="00735C64" w:rsidP="000D2A8F">
      <w:pPr>
        <w:jc w:val="both"/>
        <w:rPr>
          <w:sz w:val="22"/>
          <w:szCs w:val="22"/>
        </w:rPr>
      </w:pPr>
    </w:p>
    <w:p w:rsidR="00735C64" w:rsidRPr="00735C64" w:rsidRDefault="00735C64" w:rsidP="000D2A8F">
      <w:pPr>
        <w:jc w:val="both"/>
        <w:rPr>
          <w:b/>
          <w:sz w:val="22"/>
          <w:szCs w:val="22"/>
        </w:rPr>
      </w:pPr>
      <w:r w:rsidRPr="00735C64">
        <w:rPr>
          <w:b/>
          <w:sz w:val="22"/>
          <w:szCs w:val="22"/>
        </w:rPr>
        <w:t>BILJEŠKE UZ PR-RAS-funkcijski</w:t>
      </w:r>
    </w:p>
    <w:p w:rsidR="00735C64" w:rsidRDefault="00735C64" w:rsidP="000D2A8F">
      <w:pPr>
        <w:jc w:val="both"/>
        <w:rPr>
          <w:sz w:val="22"/>
          <w:szCs w:val="22"/>
        </w:rPr>
      </w:pPr>
    </w:p>
    <w:p w:rsidR="00735C64" w:rsidRDefault="00735C64" w:rsidP="00735C64">
      <w:pPr>
        <w:jc w:val="both"/>
        <w:rPr>
          <w:sz w:val="22"/>
          <w:szCs w:val="22"/>
        </w:rPr>
      </w:pPr>
      <w:r w:rsidRPr="00735C64">
        <w:rPr>
          <w:sz w:val="22"/>
          <w:szCs w:val="22"/>
        </w:rPr>
        <w:t>1.</w:t>
      </w:r>
      <w:r w:rsidR="00DB5A6D">
        <w:rPr>
          <w:sz w:val="22"/>
          <w:szCs w:val="22"/>
        </w:rPr>
        <w:t xml:space="preserve"> AOP 112</w:t>
      </w:r>
      <w:r>
        <w:rPr>
          <w:sz w:val="22"/>
          <w:szCs w:val="22"/>
        </w:rPr>
        <w:t xml:space="preserve"> – </w:t>
      </w:r>
      <w:r w:rsidR="002848E8">
        <w:rPr>
          <w:sz w:val="22"/>
          <w:szCs w:val="22"/>
        </w:rPr>
        <w:t>Služba rekreacije i sporta</w:t>
      </w:r>
      <w:r>
        <w:rPr>
          <w:sz w:val="22"/>
          <w:szCs w:val="22"/>
        </w:rPr>
        <w:t xml:space="preserve"> – ukupni rashodi </w:t>
      </w:r>
      <w:r w:rsidR="002848E8">
        <w:rPr>
          <w:sz w:val="22"/>
          <w:szCs w:val="22"/>
        </w:rPr>
        <w:t>u iznosu 3.300.976</w:t>
      </w:r>
      <w:r>
        <w:rPr>
          <w:sz w:val="22"/>
          <w:szCs w:val="22"/>
        </w:rPr>
        <w:t xml:space="preserve"> kn prema funkcijskoj klasifikaciji s</w:t>
      </w:r>
      <w:r w:rsidR="00DB5A6D">
        <w:rPr>
          <w:sz w:val="22"/>
          <w:szCs w:val="22"/>
        </w:rPr>
        <w:t>e o</w:t>
      </w:r>
      <w:r w:rsidR="002848E8">
        <w:rPr>
          <w:sz w:val="22"/>
          <w:szCs w:val="22"/>
        </w:rPr>
        <w:t xml:space="preserve">dnose na službu rekreacije i sporta. </w:t>
      </w:r>
      <w:r w:rsidR="00DB5A6D">
        <w:rPr>
          <w:sz w:val="22"/>
          <w:szCs w:val="22"/>
        </w:rPr>
        <w:t xml:space="preserve"> </w:t>
      </w:r>
    </w:p>
    <w:p w:rsidR="00735C64" w:rsidRDefault="00735C64" w:rsidP="00735C64">
      <w:pPr>
        <w:jc w:val="both"/>
        <w:rPr>
          <w:sz w:val="22"/>
          <w:szCs w:val="22"/>
        </w:rPr>
      </w:pPr>
    </w:p>
    <w:p w:rsidR="00735C64" w:rsidRPr="00735C64" w:rsidRDefault="00735C64" w:rsidP="00735C64">
      <w:pPr>
        <w:jc w:val="both"/>
        <w:rPr>
          <w:b/>
          <w:sz w:val="22"/>
          <w:szCs w:val="22"/>
        </w:rPr>
      </w:pPr>
      <w:r w:rsidRPr="00735C64">
        <w:rPr>
          <w:b/>
          <w:sz w:val="22"/>
          <w:szCs w:val="22"/>
        </w:rPr>
        <w:t>BILJEŠKE UZ P-VRIO</w:t>
      </w:r>
    </w:p>
    <w:p w:rsidR="00735C64" w:rsidRDefault="00735C64" w:rsidP="00735C64">
      <w:pPr>
        <w:jc w:val="both"/>
        <w:rPr>
          <w:sz w:val="22"/>
          <w:szCs w:val="22"/>
        </w:rPr>
      </w:pPr>
    </w:p>
    <w:p w:rsidR="00735C64" w:rsidRDefault="00735C64" w:rsidP="00735C64">
      <w:pPr>
        <w:jc w:val="both"/>
        <w:rPr>
          <w:sz w:val="22"/>
          <w:szCs w:val="22"/>
        </w:rPr>
      </w:pPr>
      <w:r w:rsidRPr="00735C64">
        <w:rPr>
          <w:sz w:val="22"/>
          <w:szCs w:val="22"/>
        </w:rPr>
        <w:t>1.</w:t>
      </w:r>
      <w:r>
        <w:rPr>
          <w:sz w:val="22"/>
          <w:szCs w:val="22"/>
        </w:rPr>
        <w:t xml:space="preserve"> AOP 021 – Proizvedena dugotrajna imovina – </w:t>
      </w:r>
      <w:r w:rsidR="002848E8">
        <w:rPr>
          <w:sz w:val="22"/>
          <w:szCs w:val="22"/>
        </w:rPr>
        <w:t>odnosi se na smanjenje</w:t>
      </w:r>
      <w:r w:rsidR="00DB5A6D">
        <w:rPr>
          <w:sz w:val="22"/>
          <w:szCs w:val="22"/>
        </w:rPr>
        <w:t xml:space="preserve"> proizvedene dugotrajne imovine</w:t>
      </w:r>
      <w:r w:rsidR="003C7223">
        <w:rPr>
          <w:sz w:val="22"/>
          <w:szCs w:val="22"/>
        </w:rPr>
        <w:t xml:space="preserve"> (isknjiženje ostatka vrijednosti automobila)</w:t>
      </w:r>
      <w:r w:rsidR="00DB5A6D">
        <w:rPr>
          <w:sz w:val="22"/>
          <w:szCs w:val="22"/>
        </w:rPr>
        <w:t xml:space="preserve"> </w:t>
      </w:r>
      <w:r w:rsidR="003C7223">
        <w:rPr>
          <w:sz w:val="22"/>
          <w:szCs w:val="22"/>
        </w:rPr>
        <w:t>i smanjenje sitnoga inventara u ukupnoj vrijednosti 5.514</w:t>
      </w:r>
      <w:r>
        <w:rPr>
          <w:sz w:val="22"/>
          <w:szCs w:val="22"/>
        </w:rPr>
        <w:t>.</w:t>
      </w:r>
    </w:p>
    <w:p w:rsidR="00735C64" w:rsidRDefault="00735C64" w:rsidP="00735C64">
      <w:pPr>
        <w:jc w:val="both"/>
        <w:rPr>
          <w:sz w:val="22"/>
          <w:szCs w:val="22"/>
        </w:rPr>
      </w:pPr>
    </w:p>
    <w:p w:rsidR="00735C64" w:rsidRPr="00735C64" w:rsidRDefault="00735C64" w:rsidP="00735C64">
      <w:pPr>
        <w:jc w:val="both"/>
        <w:rPr>
          <w:b/>
          <w:sz w:val="22"/>
          <w:szCs w:val="22"/>
        </w:rPr>
      </w:pPr>
      <w:r w:rsidRPr="00735C64">
        <w:rPr>
          <w:b/>
          <w:sz w:val="22"/>
          <w:szCs w:val="22"/>
        </w:rPr>
        <w:t>BILJEŠKE UZ IZVJEŠTAJ O OBVEZAMA</w:t>
      </w:r>
    </w:p>
    <w:p w:rsidR="00735C64" w:rsidRDefault="00735C64" w:rsidP="00735C64">
      <w:pPr>
        <w:jc w:val="both"/>
        <w:rPr>
          <w:sz w:val="22"/>
          <w:szCs w:val="22"/>
        </w:rPr>
      </w:pPr>
    </w:p>
    <w:p w:rsidR="00735C64" w:rsidRDefault="00735C64" w:rsidP="00735C64">
      <w:pPr>
        <w:jc w:val="both"/>
        <w:rPr>
          <w:sz w:val="22"/>
          <w:szCs w:val="22"/>
        </w:rPr>
      </w:pPr>
      <w:r w:rsidRPr="00735C64">
        <w:rPr>
          <w:sz w:val="22"/>
          <w:szCs w:val="22"/>
        </w:rPr>
        <w:t>1.</w:t>
      </w:r>
      <w:r>
        <w:rPr>
          <w:sz w:val="22"/>
          <w:szCs w:val="22"/>
        </w:rPr>
        <w:t xml:space="preserve"> AOP 036 – Stanje obveza na kraju izvještajnog razdoblja  iz</w:t>
      </w:r>
      <w:r w:rsidR="003C7223">
        <w:rPr>
          <w:sz w:val="22"/>
          <w:szCs w:val="22"/>
        </w:rPr>
        <w:t>nosi 248.726</w:t>
      </w:r>
      <w:r>
        <w:rPr>
          <w:sz w:val="22"/>
          <w:szCs w:val="22"/>
        </w:rPr>
        <w:t xml:space="preserve"> kn</w:t>
      </w:r>
      <w:r w:rsidR="003C7223">
        <w:rPr>
          <w:sz w:val="22"/>
          <w:szCs w:val="22"/>
        </w:rPr>
        <w:t xml:space="preserve"> od čega 1.175</w:t>
      </w:r>
      <w:r w:rsidR="00A91AE5">
        <w:rPr>
          <w:sz w:val="22"/>
          <w:szCs w:val="22"/>
        </w:rPr>
        <w:t xml:space="preserve"> kn dospjelih obveza</w:t>
      </w:r>
      <w:r w:rsidR="007A23E7">
        <w:rPr>
          <w:sz w:val="22"/>
          <w:szCs w:val="22"/>
        </w:rPr>
        <w:t xml:space="preserve"> (račun), a </w:t>
      </w:r>
      <w:r w:rsidR="003C7223">
        <w:rPr>
          <w:sz w:val="22"/>
          <w:szCs w:val="22"/>
        </w:rPr>
        <w:t>247.551</w:t>
      </w:r>
      <w:r w:rsidR="007A23E7">
        <w:rPr>
          <w:sz w:val="22"/>
          <w:szCs w:val="22"/>
        </w:rPr>
        <w:t xml:space="preserve"> kn nedospjelih obveza (računi i plaća za 12. mjesec).</w:t>
      </w:r>
    </w:p>
    <w:p w:rsidR="007A23E7" w:rsidRDefault="007A23E7" w:rsidP="00735C64">
      <w:pPr>
        <w:jc w:val="both"/>
        <w:rPr>
          <w:sz w:val="22"/>
          <w:szCs w:val="22"/>
        </w:rPr>
      </w:pPr>
    </w:p>
    <w:p w:rsidR="007A23E7" w:rsidRDefault="007A23E7" w:rsidP="00735C64">
      <w:pPr>
        <w:jc w:val="both"/>
        <w:rPr>
          <w:sz w:val="22"/>
          <w:szCs w:val="22"/>
        </w:rPr>
      </w:pPr>
    </w:p>
    <w:p w:rsidR="007A23E7" w:rsidRDefault="007A23E7" w:rsidP="00735C64">
      <w:pPr>
        <w:jc w:val="both"/>
        <w:rPr>
          <w:sz w:val="22"/>
          <w:szCs w:val="22"/>
        </w:rPr>
      </w:pPr>
    </w:p>
    <w:p w:rsidR="007A23E7" w:rsidRDefault="007A23E7" w:rsidP="00735C64">
      <w:pPr>
        <w:jc w:val="both"/>
        <w:rPr>
          <w:sz w:val="22"/>
          <w:szCs w:val="22"/>
        </w:rPr>
      </w:pPr>
    </w:p>
    <w:p w:rsidR="007A23E7" w:rsidRDefault="007A23E7" w:rsidP="00735C64">
      <w:pPr>
        <w:jc w:val="both"/>
        <w:rPr>
          <w:sz w:val="22"/>
          <w:szCs w:val="22"/>
        </w:rPr>
      </w:pPr>
      <w:r>
        <w:rPr>
          <w:sz w:val="22"/>
          <w:szCs w:val="22"/>
        </w:rPr>
        <w:t>Požega, 31. siječnja 2019.</w:t>
      </w:r>
    </w:p>
    <w:p w:rsidR="007A23E7" w:rsidRDefault="007A23E7" w:rsidP="00735C64">
      <w:pPr>
        <w:jc w:val="both"/>
        <w:rPr>
          <w:sz w:val="22"/>
          <w:szCs w:val="22"/>
        </w:rPr>
      </w:pPr>
    </w:p>
    <w:p w:rsidR="007A23E7" w:rsidRDefault="007A23E7" w:rsidP="00735C64">
      <w:pPr>
        <w:jc w:val="both"/>
        <w:rPr>
          <w:sz w:val="22"/>
          <w:szCs w:val="22"/>
        </w:rPr>
      </w:pPr>
      <w:r>
        <w:rPr>
          <w:sz w:val="22"/>
          <w:szCs w:val="22"/>
        </w:rPr>
        <w:t>Osoba za</w:t>
      </w:r>
      <w:r w:rsidR="00DB5A6D">
        <w:rPr>
          <w:sz w:val="22"/>
          <w:szCs w:val="22"/>
        </w:rPr>
        <w:t xml:space="preserve"> kontaktiranje: Matea Čeliković, bacc</w:t>
      </w:r>
      <w:r>
        <w:rPr>
          <w:sz w:val="22"/>
          <w:szCs w:val="22"/>
        </w:rPr>
        <w:t>.oec.</w:t>
      </w:r>
    </w:p>
    <w:p w:rsidR="007A23E7" w:rsidRPr="000D2A8F" w:rsidRDefault="007A23E7" w:rsidP="00735C64">
      <w:pPr>
        <w:jc w:val="both"/>
        <w:rPr>
          <w:sz w:val="22"/>
          <w:szCs w:val="22"/>
        </w:rPr>
      </w:pPr>
      <w:r>
        <w:rPr>
          <w:sz w:val="22"/>
          <w:szCs w:val="22"/>
        </w:rPr>
        <w:t>Kontakt telefon: 034/311-321</w:t>
      </w:r>
    </w:p>
    <w:p w:rsidR="00B25DC7" w:rsidRPr="007A23E7" w:rsidRDefault="00B25DC7" w:rsidP="00B25DC7">
      <w:pPr>
        <w:spacing w:line="276" w:lineRule="auto"/>
        <w:jc w:val="both"/>
        <w:rPr>
          <w:sz w:val="22"/>
          <w:szCs w:val="22"/>
        </w:rPr>
      </w:pPr>
    </w:p>
    <w:p w:rsidR="00B25DC7" w:rsidRPr="007A23E7" w:rsidRDefault="003C7223" w:rsidP="007A23E7">
      <w:pPr>
        <w:spacing w:line="276" w:lineRule="auto"/>
        <w:ind w:left="5670"/>
        <w:jc w:val="center"/>
        <w:rPr>
          <w:sz w:val="22"/>
          <w:szCs w:val="22"/>
        </w:rPr>
      </w:pPr>
      <w:r>
        <w:rPr>
          <w:sz w:val="22"/>
          <w:szCs w:val="22"/>
        </w:rPr>
        <w:t>Ravnatelj</w:t>
      </w:r>
      <w:r w:rsidR="00B25DC7" w:rsidRPr="007A23E7">
        <w:rPr>
          <w:sz w:val="22"/>
          <w:szCs w:val="22"/>
        </w:rPr>
        <w:t>:</w:t>
      </w:r>
    </w:p>
    <w:p w:rsidR="00B25DC7" w:rsidRPr="007A23E7" w:rsidRDefault="003C7223" w:rsidP="007A23E7">
      <w:pPr>
        <w:spacing w:line="276" w:lineRule="auto"/>
        <w:ind w:left="5670"/>
        <w:jc w:val="center"/>
        <w:rPr>
          <w:sz w:val="22"/>
          <w:szCs w:val="22"/>
        </w:rPr>
      </w:pPr>
      <w:r>
        <w:rPr>
          <w:sz w:val="22"/>
          <w:szCs w:val="22"/>
        </w:rPr>
        <w:t xml:space="preserve">Anto Brkić, dipl. soc. radnik </w:t>
      </w:r>
    </w:p>
    <w:sectPr w:rsidR="00B25DC7" w:rsidRPr="007A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5"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B76A48"/>
    <w:multiLevelType w:val="hybridMultilevel"/>
    <w:tmpl w:val="A3C0B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8"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C34634"/>
    <w:multiLevelType w:val="hybridMultilevel"/>
    <w:tmpl w:val="83D60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21"/>
  </w:num>
  <w:num w:numId="5">
    <w:abstractNumId w:val="19"/>
  </w:num>
  <w:num w:numId="6">
    <w:abstractNumId w:val="15"/>
  </w:num>
  <w:num w:numId="7">
    <w:abstractNumId w:val="8"/>
  </w:num>
  <w:num w:numId="8">
    <w:abstractNumId w:val="0"/>
  </w:num>
  <w:num w:numId="9">
    <w:abstractNumId w:val="1"/>
  </w:num>
  <w:num w:numId="10">
    <w:abstractNumId w:val="2"/>
  </w:num>
  <w:num w:numId="11">
    <w:abstractNumId w:val="3"/>
  </w:num>
  <w:num w:numId="12">
    <w:abstractNumId w:val="4"/>
  </w:num>
  <w:num w:numId="13">
    <w:abstractNumId w:val="11"/>
  </w:num>
  <w:num w:numId="14">
    <w:abstractNumId w:val="12"/>
  </w:num>
  <w:num w:numId="15">
    <w:abstractNumId w:val="18"/>
  </w:num>
  <w:num w:numId="16">
    <w:abstractNumId w:val="13"/>
  </w:num>
  <w:num w:numId="17">
    <w:abstractNumId w:val="10"/>
  </w:num>
  <w:num w:numId="18">
    <w:abstractNumId w:val="7"/>
  </w:num>
  <w:num w:numId="19">
    <w:abstractNumId w:val="16"/>
  </w:num>
  <w:num w:numId="20">
    <w:abstractNumId w:val="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F4"/>
    <w:rsid w:val="000411FD"/>
    <w:rsid w:val="000551AE"/>
    <w:rsid w:val="00063C1D"/>
    <w:rsid w:val="00086495"/>
    <w:rsid w:val="0009301A"/>
    <w:rsid w:val="000B6451"/>
    <w:rsid w:val="000D2A8F"/>
    <w:rsid w:val="00145730"/>
    <w:rsid w:val="0015068E"/>
    <w:rsid w:val="00176302"/>
    <w:rsid w:val="001B4BFB"/>
    <w:rsid w:val="001E5FBC"/>
    <w:rsid w:val="001F2669"/>
    <w:rsid w:val="0020122C"/>
    <w:rsid w:val="00212732"/>
    <w:rsid w:val="00231E8C"/>
    <w:rsid w:val="00242E4B"/>
    <w:rsid w:val="00261B42"/>
    <w:rsid w:val="002848E8"/>
    <w:rsid w:val="002A03C3"/>
    <w:rsid w:val="002A3A79"/>
    <w:rsid w:val="002B1D5C"/>
    <w:rsid w:val="002D15E9"/>
    <w:rsid w:val="002D18F5"/>
    <w:rsid w:val="003063F4"/>
    <w:rsid w:val="00313E03"/>
    <w:rsid w:val="00322882"/>
    <w:rsid w:val="00366F01"/>
    <w:rsid w:val="00373968"/>
    <w:rsid w:val="00376CCE"/>
    <w:rsid w:val="00385FEC"/>
    <w:rsid w:val="003877E7"/>
    <w:rsid w:val="0039496C"/>
    <w:rsid w:val="003A4E37"/>
    <w:rsid w:val="003B1509"/>
    <w:rsid w:val="003C012F"/>
    <w:rsid w:val="003C7223"/>
    <w:rsid w:val="003D3993"/>
    <w:rsid w:val="003F280A"/>
    <w:rsid w:val="004322A3"/>
    <w:rsid w:val="00433CD9"/>
    <w:rsid w:val="00445D7C"/>
    <w:rsid w:val="0045285D"/>
    <w:rsid w:val="00455BB9"/>
    <w:rsid w:val="004C5C17"/>
    <w:rsid w:val="00540804"/>
    <w:rsid w:val="0055082A"/>
    <w:rsid w:val="0055150A"/>
    <w:rsid w:val="0055551D"/>
    <w:rsid w:val="00560813"/>
    <w:rsid w:val="00595C9B"/>
    <w:rsid w:val="005C6B1D"/>
    <w:rsid w:val="005D6E48"/>
    <w:rsid w:val="005E0EC9"/>
    <w:rsid w:val="005E28F0"/>
    <w:rsid w:val="005E524C"/>
    <w:rsid w:val="00630ABC"/>
    <w:rsid w:val="00667E89"/>
    <w:rsid w:val="006A264B"/>
    <w:rsid w:val="006E0AB0"/>
    <w:rsid w:val="00705D89"/>
    <w:rsid w:val="007159F9"/>
    <w:rsid w:val="0072305C"/>
    <w:rsid w:val="00735C64"/>
    <w:rsid w:val="0074735B"/>
    <w:rsid w:val="00750711"/>
    <w:rsid w:val="007A23E7"/>
    <w:rsid w:val="008102C2"/>
    <w:rsid w:val="00833B4D"/>
    <w:rsid w:val="00836BCA"/>
    <w:rsid w:val="0085185F"/>
    <w:rsid w:val="00884C9B"/>
    <w:rsid w:val="00885FDF"/>
    <w:rsid w:val="008A6123"/>
    <w:rsid w:val="008B0DF1"/>
    <w:rsid w:val="008F21F3"/>
    <w:rsid w:val="00901039"/>
    <w:rsid w:val="00914055"/>
    <w:rsid w:val="009279F4"/>
    <w:rsid w:val="009448B6"/>
    <w:rsid w:val="00955732"/>
    <w:rsid w:val="00964D71"/>
    <w:rsid w:val="00987E65"/>
    <w:rsid w:val="009C450D"/>
    <w:rsid w:val="009C7FFC"/>
    <w:rsid w:val="009D4603"/>
    <w:rsid w:val="009F2557"/>
    <w:rsid w:val="009F29D1"/>
    <w:rsid w:val="00A126E8"/>
    <w:rsid w:val="00A13F7D"/>
    <w:rsid w:val="00A15BA9"/>
    <w:rsid w:val="00A3228F"/>
    <w:rsid w:val="00A91AE5"/>
    <w:rsid w:val="00AC6ADF"/>
    <w:rsid w:val="00B14EFC"/>
    <w:rsid w:val="00B239C8"/>
    <w:rsid w:val="00B25DC7"/>
    <w:rsid w:val="00B4489A"/>
    <w:rsid w:val="00B46226"/>
    <w:rsid w:val="00BA2952"/>
    <w:rsid w:val="00BB4E9C"/>
    <w:rsid w:val="00BC7628"/>
    <w:rsid w:val="00BE7C83"/>
    <w:rsid w:val="00C3481C"/>
    <w:rsid w:val="00C41489"/>
    <w:rsid w:val="00C57A84"/>
    <w:rsid w:val="00C96650"/>
    <w:rsid w:val="00CC1156"/>
    <w:rsid w:val="00CD53F8"/>
    <w:rsid w:val="00CE15DD"/>
    <w:rsid w:val="00CE51AC"/>
    <w:rsid w:val="00D10787"/>
    <w:rsid w:val="00D14725"/>
    <w:rsid w:val="00D51730"/>
    <w:rsid w:val="00D81D7D"/>
    <w:rsid w:val="00D82FFF"/>
    <w:rsid w:val="00D94CD2"/>
    <w:rsid w:val="00DB3FE8"/>
    <w:rsid w:val="00DB5A6D"/>
    <w:rsid w:val="00DD704F"/>
    <w:rsid w:val="00DF57F3"/>
    <w:rsid w:val="00DF7EF6"/>
    <w:rsid w:val="00E23DE8"/>
    <w:rsid w:val="00E33B63"/>
    <w:rsid w:val="00E34F0B"/>
    <w:rsid w:val="00E443B6"/>
    <w:rsid w:val="00E90405"/>
    <w:rsid w:val="00EA6D27"/>
    <w:rsid w:val="00EA7C0F"/>
    <w:rsid w:val="00EC09A4"/>
    <w:rsid w:val="00ED1B12"/>
    <w:rsid w:val="00ED5E12"/>
    <w:rsid w:val="00EE168A"/>
    <w:rsid w:val="00F13616"/>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5ACAE-2C69-4701-AD11-C622967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table" w:styleId="TableGrid">
    <w:name w:val="Table Grid"/>
    <w:basedOn w:val="TableNormal"/>
    <w:rsid w:val="00C5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
    <w:rsid w:val="00D94CD2"/>
    <w:pPr>
      <w:overflowPunct w:val="0"/>
      <w:autoSpaceDE w:val="0"/>
      <w:autoSpaceDN w:val="0"/>
      <w:adjustRightInd w:val="0"/>
      <w:ind w:firstLine="567"/>
      <w:jc w:val="both"/>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Korisnik</cp:lastModifiedBy>
  <cp:revision>2</cp:revision>
  <cp:lastPrinted>2013-05-23T09:48:00Z</cp:lastPrinted>
  <dcterms:created xsi:type="dcterms:W3CDTF">2019-02-06T07:32:00Z</dcterms:created>
  <dcterms:modified xsi:type="dcterms:W3CDTF">2019-02-06T07:32:00Z</dcterms:modified>
</cp:coreProperties>
</file>