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22F3" w14:textId="77777777" w:rsidR="00DD6C07" w:rsidRPr="00A334A3" w:rsidRDefault="00DD6C07" w:rsidP="00753AED">
      <w:pPr>
        <w:pStyle w:val="Opisslike"/>
        <w:spacing w:after="0"/>
        <w:jc w:val="center"/>
        <w:rPr>
          <w:sz w:val="22"/>
          <w:szCs w:val="22"/>
        </w:rPr>
      </w:pPr>
      <w:r w:rsidRPr="00A334A3">
        <w:rPr>
          <w:rFonts w:ascii="Times New Roman" w:hAnsi="Times New Roman"/>
          <w:sz w:val="22"/>
          <w:szCs w:val="22"/>
        </w:rPr>
        <w:t>Obrazac Izvješća o savjetovanju s javnošću</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80" w:firstRow="0" w:lastRow="0" w:firstColumn="1" w:lastColumn="0" w:noHBand="0" w:noVBand="0"/>
      </w:tblPr>
      <w:tblGrid>
        <w:gridCol w:w="1427"/>
        <w:gridCol w:w="2567"/>
        <w:gridCol w:w="5645"/>
      </w:tblGrid>
      <w:tr w:rsidR="00DD6C07" w:rsidRPr="00A334A3" w14:paraId="311A83C0" w14:textId="77777777" w:rsidTr="00A334A3">
        <w:trPr>
          <w:trHeight w:hRule="exact" w:val="1163"/>
          <w:jc w:val="center"/>
        </w:trPr>
        <w:tc>
          <w:tcPr>
            <w:tcW w:w="1385" w:type="dxa"/>
            <w:tcBorders>
              <w:top w:val="single" w:sz="8" w:space="0" w:color="auto"/>
              <w:left w:val="single" w:sz="8" w:space="0" w:color="auto"/>
              <w:bottom w:val="single" w:sz="8" w:space="0" w:color="auto"/>
              <w:right w:val="single" w:sz="4" w:space="0" w:color="auto"/>
            </w:tcBorders>
            <w:shd w:val="clear" w:color="auto" w:fill="EAF1DD"/>
            <w:vAlign w:val="center"/>
            <w:hideMark/>
          </w:tcPr>
          <w:p w14:paraId="67F6A6CE" w14:textId="77777777" w:rsidR="00DD6C07" w:rsidRPr="00A334A3" w:rsidRDefault="00DD6C07" w:rsidP="004542D5">
            <w:pPr>
              <w:spacing w:after="0" w:line="240" w:lineRule="auto"/>
              <w:jc w:val="center"/>
              <w:rPr>
                <w:rFonts w:ascii="Times New Roman" w:hAnsi="Times New Roman" w:cs="Times New Roman"/>
                <w:b/>
                <w:bCs/>
                <w:sz w:val="22"/>
              </w:rPr>
            </w:pPr>
            <w:r w:rsidRPr="00A334A3">
              <w:rPr>
                <w:rFonts w:ascii="Times New Roman" w:hAnsi="Times New Roman" w:cs="Times New Roman"/>
                <w:b/>
                <w:noProof/>
                <w:sz w:val="22"/>
                <w:lang w:eastAsia="hr-HR"/>
              </w:rPr>
              <w:drawing>
                <wp:inline distT="0" distB="0" distL="0" distR="0" wp14:anchorId="1A5B8D29" wp14:editId="45432514">
                  <wp:extent cx="428625" cy="542925"/>
                  <wp:effectExtent l="0" t="0" r="9525"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tc>
        <w:tc>
          <w:tcPr>
            <w:tcW w:w="7966"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14:paraId="7C6A27A4" w14:textId="77777777" w:rsidR="00DD6C07" w:rsidRPr="00A334A3" w:rsidRDefault="00DD6C07" w:rsidP="004542D5">
            <w:pPr>
              <w:spacing w:after="0" w:line="240" w:lineRule="auto"/>
              <w:jc w:val="center"/>
              <w:rPr>
                <w:rFonts w:ascii="Times New Roman" w:hAnsi="Times New Roman" w:cs="Times New Roman"/>
                <w:b/>
                <w:bCs/>
                <w:noProof/>
                <w:sz w:val="22"/>
              </w:rPr>
            </w:pPr>
            <w:r w:rsidRPr="00A334A3">
              <w:rPr>
                <w:rFonts w:ascii="Times New Roman" w:hAnsi="Times New Roman" w:cs="Times New Roman"/>
                <w:b/>
                <w:bCs/>
                <w:sz w:val="22"/>
              </w:rPr>
              <w:t>R  E  P  U  B  L  I  K  A    H  R  V  A  T  S  K  A</w:t>
            </w:r>
          </w:p>
          <w:p w14:paraId="0F7FB39F" w14:textId="77777777" w:rsidR="00DD6C07" w:rsidRPr="00A334A3" w:rsidRDefault="00DD6C07" w:rsidP="004542D5">
            <w:pPr>
              <w:spacing w:after="0" w:line="240" w:lineRule="auto"/>
              <w:jc w:val="center"/>
              <w:rPr>
                <w:rFonts w:ascii="Times New Roman" w:hAnsi="Times New Roman" w:cs="Times New Roman"/>
                <w:b/>
                <w:bCs/>
                <w:noProof/>
                <w:sz w:val="22"/>
              </w:rPr>
            </w:pPr>
            <w:r w:rsidRPr="00A334A3">
              <w:rPr>
                <w:rFonts w:ascii="Times New Roman" w:hAnsi="Times New Roman" w:cs="Times New Roman"/>
                <w:b/>
                <w:bCs/>
                <w:sz w:val="22"/>
              </w:rPr>
              <w:t>POŽEŠKO-SLAVONSKA ŽUPANIJA</w:t>
            </w:r>
          </w:p>
        </w:tc>
      </w:tr>
      <w:tr w:rsidR="00DD6C07" w:rsidRPr="00A334A3" w14:paraId="646731D7" w14:textId="77777777" w:rsidTr="00A334A3">
        <w:trPr>
          <w:trHeight w:hRule="exact" w:val="1153"/>
          <w:jc w:val="center"/>
        </w:trPr>
        <w:tc>
          <w:tcPr>
            <w:tcW w:w="1385" w:type="dxa"/>
            <w:tcBorders>
              <w:top w:val="single" w:sz="8" w:space="0" w:color="auto"/>
              <w:left w:val="single" w:sz="8" w:space="0" w:color="auto"/>
              <w:bottom w:val="single" w:sz="8" w:space="0" w:color="auto"/>
              <w:right w:val="single" w:sz="4" w:space="0" w:color="auto"/>
            </w:tcBorders>
            <w:shd w:val="clear" w:color="auto" w:fill="EAF1DD"/>
            <w:vAlign w:val="center"/>
            <w:hideMark/>
          </w:tcPr>
          <w:p w14:paraId="613D1DF0" w14:textId="77777777" w:rsidR="00DD6C07" w:rsidRPr="00A334A3" w:rsidRDefault="00DD6C07" w:rsidP="004542D5">
            <w:pPr>
              <w:spacing w:after="0" w:line="240" w:lineRule="auto"/>
              <w:jc w:val="center"/>
              <w:rPr>
                <w:rFonts w:ascii="Times New Roman" w:hAnsi="Times New Roman" w:cs="Times New Roman"/>
                <w:b/>
                <w:bCs/>
                <w:noProof/>
                <w:sz w:val="22"/>
              </w:rPr>
            </w:pPr>
            <w:r w:rsidRPr="00A334A3">
              <w:rPr>
                <w:rFonts w:ascii="Times New Roman" w:hAnsi="Times New Roman" w:cs="Times New Roman"/>
                <w:b/>
                <w:noProof/>
                <w:sz w:val="22"/>
                <w:lang w:eastAsia="hr-HR"/>
              </w:rPr>
              <w:drawing>
                <wp:inline distT="0" distB="0" distL="0" distR="0" wp14:anchorId="3BF2392C" wp14:editId="56881CB5">
                  <wp:extent cx="561975" cy="552450"/>
                  <wp:effectExtent l="0" t="0" r="9525"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c>
          <w:tcPr>
            <w:tcW w:w="7966" w:type="dxa"/>
            <w:gridSpan w:val="2"/>
            <w:tcBorders>
              <w:top w:val="single" w:sz="8" w:space="0" w:color="auto"/>
              <w:left w:val="single" w:sz="4" w:space="0" w:color="auto"/>
              <w:bottom w:val="single" w:sz="8" w:space="0" w:color="auto"/>
              <w:right w:val="single" w:sz="8" w:space="0" w:color="auto"/>
            </w:tcBorders>
            <w:shd w:val="clear" w:color="auto" w:fill="EAF1DD"/>
            <w:vAlign w:val="center"/>
            <w:hideMark/>
          </w:tcPr>
          <w:p w14:paraId="00B25B14" w14:textId="77777777" w:rsidR="00DD6C07" w:rsidRPr="00A334A3" w:rsidRDefault="00DD6C07" w:rsidP="004542D5">
            <w:pPr>
              <w:spacing w:after="0" w:line="240" w:lineRule="auto"/>
              <w:jc w:val="center"/>
              <w:rPr>
                <w:rFonts w:ascii="Times New Roman" w:hAnsi="Times New Roman" w:cs="Times New Roman"/>
                <w:b/>
                <w:bCs/>
                <w:sz w:val="22"/>
              </w:rPr>
            </w:pPr>
            <w:r w:rsidRPr="00A334A3">
              <w:rPr>
                <w:rFonts w:ascii="Times New Roman" w:hAnsi="Times New Roman" w:cs="Times New Roman"/>
                <w:b/>
                <w:bCs/>
                <w:sz w:val="22"/>
              </w:rPr>
              <w:t>GRAD POŽEGA</w:t>
            </w:r>
          </w:p>
          <w:p w14:paraId="555CCE67" w14:textId="77777777" w:rsidR="00DD6C07" w:rsidRPr="00A334A3" w:rsidRDefault="00DD6C07" w:rsidP="00F64C38">
            <w:pPr>
              <w:spacing w:after="0" w:line="240" w:lineRule="auto"/>
              <w:jc w:val="center"/>
              <w:rPr>
                <w:rFonts w:ascii="Times New Roman" w:hAnsi="Times New Roman" w:cs="Times New Roman"/>
                <w:b/>
                <w:bCs/>
                <w:sz w:val="22"/>
              </w:rPr>
            </w:pPr>
            <w:r w:rsidRPr="00A334A3">
              <w:rPr>
                <w:rFonts w:ascii="Times New Roman" w:hAnsi="Times New Roman" w:cs="Times New Roman"/>
                <w:b/>
                <w:bCs/>
                <w:sz w:val="22"/>
              </w:rPr>
              <w:t xml:space="preserve">Upravni odjel za </w:t>
            </w:r>
            <w:r w:rsidR="00F64C38" w:rsidRPr="00A334A3">
              <w:rPr>
                <w:rFonts w:ascii="Times New Roman" w:hAnsi="Times New Roman" w:cs="Times New Roman"/>
                <w:b/>
                <w:bCs/>
                <w:sz w:val="22"/>
              </w:rPr>
              <w:t>financije</w:t>
            </w:r>
          </w:p>
        </w:tc>
      </w:tr>
      <w:tr w:rsidR="00DD6C07" w:rsidRPr="00A334A3" w14:paraId="62A17861" w14:textId="77777777" w:rsidTr="00A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9"/>
          <w:jc w:val="center"/>
        </w:trPr>
        <w:tc>
          <w:tcPr>
            <w:tcW w:w="9351" w:type="dxa"/>
            <w:gridSpan w:val="3"/>
            <w:tcBorders>
              <w:bottom w:val="single" w:sz="4" w:space="0" w:color="365F91"/>
            </w:tcBorders>
            <w:shd w:val="clear" w:color="auto" w:fill="B8CCE4"/>
            <w:vAlign w:val="center"/>
          </w:tcPr>
          <w:p w14:paraId="65EFE40A" w14:textId="77777777" w:rsidR="00DD6C07" w:rsidRPr="00A334A3" w:rsidRDefault="00DD6C07" w:rsidP="004542D5">
            <w:pPr>
              <w:spacing w:after="0" w:line="240" w:lineRule="auto"/>
              <w:jc w:val="center"/>
              <w:rPr>
                <w:rFonts w:ascii="Times New Roman" w:hAnsi="Times New Roman" w:cs="Times New Roman"/>
                <w:b/>
                <w:bCs/>
                <w:sz w:val="22"/>
              </w:rPr>
            </w:pPr>
            <w:r w:rsidRPr="00A334A3">
              <w:rPr>
                <w:rFonts w:ascii="Times New Roman" w:hAnsi="Times New Roman" w:cs="Times New Roman"/>
                <w:b/>
                <w:bCs/>
                <w:sz w:val="22"/>
              </w:rPr>
              <w:t>IZVJEŠĆE O SAVJETOVANJU S JAVNOŠĆU</w:t>
            </w:r>
          </w:p>
          <w:p w14:paraId="3F0C32CB" w14:textId="77777777" w:rsidR="00DD6C07" w:rsidRPr="00A334A3" w:rsidRDefault="00DD6C07" w:rsidP="004542D5">
            <w:pPr>
              <w:spacing w:after="0" w:line="240" w:lineRule="auto"/>
              <w:jc w:val="center"/>
              <w:rPr>
                <w:rFonts w:ascii="Times New Roman" w:hAnsi="Times New Roman" w:cs="Times New Roman"/>
                <w:bCs/>
                <w:sz w:val="22"/>
              </w:rPr>
            </w:pPr>
            <w:r w:rsidRPr="00A334A3">
              <w:rPr>
                <w:rFonts w:ascii="Times New Roman" w:hAnsi="Times New Roman" w:cs="Times New Roman"/>
                <w:bCs/>
                <w:sz w:val="22"/>
              </w:rPr>
              <w:t>U POSTUPKU DONOŠENJA:</w:t>
            </w:r>
          </w:p>
          <w:p w14:paraId="52056372" w14:textId="2C58DFF3" w:rsidR="00DD6C07" w:rsidRPr="00A334A3" w:rsidRDefault="00DD6C07" w:rsidP="004542D5">
            <w:pPr>
              <w:spacing w:after="0" w:line="240" w:lineRule="auto"/>
              <w:jc w:val="center"/>
              <w:rPr>
                <w:rFonts w:ascii="Times New Roman" w:hAnsi="Times New Roman" w:cs="Times New Roman"/>
                <w:bCs/>
                <w:i/>
                <w:sz w:val="22"/>
              </w:rPr>
            </w:pPr>
            <w:r w:rsidRPr="00A334A3">
              <w:rPr>
                <w:rFonts w:ascii="Times New Roman" w:hAnsi="Times New Roman" w:cs="Times New Roman"/>
                <w:bCs/>
                <w:sz w:val="22"/>
              </w:rPr>
              <w:t xml:space="preserve"> </w:t>
            </w:r>
            <w:r w:rsidR="00F64C38" w:rsidRPr="00A334A3">
              <w:rPr>
                <w:rFonts w:ascii="Times New Roman" w:hAnsi="Times New Roman" w:cs="Times New Roman"/>
                <w:bCs/>
                <w:sz w:val="22"/>
              </w:rPr>
              <w:t>PRORAČUN GRADA POŽEGE ZA RAZDOBLJE 20</w:t>
            </w:r>
            <w:r w:rsidR="00753AED" w:rsidRPr="00A334A3">
              <w:rPr>
                <w:rFonts w:ascii="Times New Roman" w:hAnsi="Times New Roman" w:cs="Times New Roman"/>
                <w:bCs/>
                <w:sz w:val="22"/>
              </w:rPr>
              <w:t>2</w:t>
            </w:r>
            <w:r w:rsidR="004A1C66">
              <w:rPr>
                <w:rFonts w:ascii="Times New Roman" w:hAnsi="Times New Roman" w:cs="Times New Roman"/>
                <w:bCs/>
                <w:sz w:val="22"/>
              </w:rPr>
              <w:t>1</w:t>
            </w:r>
            <w:r w:rsidR="00F64C38" w:rsidRPr="00A334A3">
              <w:rPr>
                <w:rFonts w:ascii="Times New Roman" w:hAnsi="Times New Roman" w:cs="Times New Roman"/>
                <w:bCs/>
                <w:sz w:val="22"/>
              </w:rPr>
              <w:t>.-202</w:t>
            </w:r>
            <w:r w:rsidR="004A1C66">
              <w:rPr>
                <w:rFonts w:ascii="Times New Roman" w:hAnsi="Times New Roman" w:cs="Times New Roman"/>
                <w:bCs/>
                <w:sz w:val="22"/>
              </w:rPr>
              <w:t>3</w:t>
            </w:r>
            <w:r w:rsidR="00F64C38" w:rsidRPr="00A334A3">
              <w:rPr>
                <w:rFonts w:ascii="Times New Roman" w:hAnsi="Times New Roman" w:cs="Times New Roman"/>
                <w:bCs/>
                <w:sz w:val="22"/>
              </w:rPr>
              <w:t>. GODINE</w:t>
            </w:r>
          </w:p>
          <w:p w14:paraId="33C4F41E" w14:textId="77777777" w:rsidR="00DD6C07" w:rsidRPr="00A334A3" w:rsidRDefault="00DD6C07" w:rsidP="004542D5">
            <w:pPr>
              <w:spacing w:after="0" w:line="240" w:lineRule="auto"/>
              <w:rPr>
                <w:rFonts w:ascii="Times New Roman" w:hAnsi="Times New Roman" w:cs="Times New Roman"/>
                <w:bCs/>
                <w:sz w:val="22"/>
              </w:rPr>
            </w:pPr>
          </w:p>
          <w:p w14:paraId="25D5E55D" w14:textId="77777777" w:rsidR="00F64C38" w:rsidRPr="00A334A3" w:rsidRDefault="00DD6C07" w:rsidP="00F64C38">
            <w:pPr>
              <w:spacing w:after="0" w:line="240" w:lineRule="auto"/>
              <w:jc w:val="center"/>
              <w:rPr>
                <w:rFonts w:ascii="Times New Roman" w:hAnsi="Times New Roman" w:cs="Times New Roman"/>
                <w:b/>
                <w:bCs/>
                <w:sz w:val="22"/>
              </w:rPr>
            </w:pPr>
            <w:r w:rsidRPr="00A334A3">
              <w:rPr>
                <w:rFonts w:ascii="Times New Roman" w:hAnsi="Times New Roman" w:cs="Times New Roman"/>
                <w:b/>
                <w:bCs/>
                <w:sz w:val="22"/>
              </w:rPr>
              <w:t>Nositelj izrade izvješća: Upravni odjel za</w:t>
            </w:r>
            <w:r w:rsidR="00F64C38" w:rsidRPr="00A334A3">
              <w:rPr>
                <w:rFonts w:ascii="Times New Roman" w:hAnsi="Times New Roman" w:cs="Times New Roman"/>
                <w:b/>
                <w:bCs/>
                <w:sz w:val="22"/>
              </w:rPr>
              <w:t xml:space="preserve"> financije</w:t>
            </w:r>
          </w:p>
          <w:p w14:paraId="19CCD8AF" w14:textId="5F87ECEC" w:rsidR="00DD6C07" w:rsidRPr="00A334A3" w:rsidRDefault="00DD6C07" w:rsidP="00F64C38">
            <w:pPr>
              <w:spacing w:after="0" w:line="240" w:lineRule="auto"/>
              <w:jc w:val="center"/>
              <w:rPr>
                <w:rFonts w:ascii="Times New Roman" w:hAnsi="Times New Roman" w:cs="Times New Roman"/>
                <w:bCs/>
                <w:i/>
                <w:sz w:val="22"/>
              </w:rPr>
            </w:pPr>
            <w:r w:rsidRPr="00A334A3">
              <w:rPr>
                <w:rFonts w:ascii="Times New Roman" w:hAnsi="Times New Roman" w:cs="Times New Roman"/>
                <w:b/>
                <w:bCs/>
                <w:sz w:val="22"/>
              </w:rPr>
              <w:t xml:space="preserve">Požega, </w:t>
            </w:r>
            <w:r w:rsidR="00F64C38" w:rsidRPr="00A334A3">
              <w:rPr>
                <w:rFonts w:ascii="Times New Roman" w:hAnsi="Times New Roman" w:cs="Times New Roman"/>
                <w:b/>
                <w:bCs/>
                <w:sz w:val="22"/>
              </w:rPr>
              <w:t>1</w:t>
            </w:r>
            <w:r w:rsidR="004A1C66">
              <w:rPr>
                <w:rFonts w:ascii="Times New Roman" w:hAnsi="Times New Roman" w:cs="Times New Roman"/>
                <w:b/>
                <w:bCs/>
                <w:sz w:val="22"/>
              </w:rPr>
              <w:t>3</w:t>
            </w:r>
            <w:r w:rsidRPr="00A334A3">
              <w:rPr>
                <w:rFonts w:ascii="Times New Roman" w:hAnsi="Times New Roman" w:cs="Times New Roman"/>
                <w:b/>
                <w:bCs/>
                <w:sz w:val="22"/>
              </w:rPr>
              <w:t xml:space="preserve">. </w:t>
            </w:r>
            <w:r w:rsidR="00F64C38" w:rsidRPr="00A334A3">
              <w:rPr>
                <w:rFonts w:ascii="Times New Roman" w:hAnsi="Times New Roman" w:cs="Times New Roman"/>
                <w:b/>
                <w:bCs/>
                <w:sz w:val="22"/>
              </w:rPr>
              <w:t>studeni</w:t>
            </w:r>
            <w:r w:rsidRPr="00A334A3">
              <w:rPr>
                <w:rFonts w:ascii="Times New Roman" w:hAnsi="Times New Roman" w:cs="Times New Roman"/>
                <w:b/>
                <w:bCs/>
                <w:sz w:val="22"/>
              </w:rPr>
              <w:t xml:space="preserve"> 20</w:t>
            </w:r>
            <w:r w:rsidR="004A1C66">
              <w:rPr>
                <w:rFonts w:ascii="Times New Roman" w:hAnsi="Times New Roman" w:cs="Times New Roman"/>
                <w:b/>
                <w:bCs/>
                <w:sz w:val="22"/>
              </w:rPr>
              <w:t>20</w:t>
            </w:r>
            <w:r w:rsidRPr="00A334A3">
              <w:rPr>
                <w:rFonts w:ascii="Times New Roman" w:hAnsi="Times New Roman" w:cs="Times New Roman"/>
                <w:b/>
                <w:bCs/>
                <w:sz w:val="22"/>
              </w:rPr>
              <w:t xml:space="preserve">. godine </w:t>
            </w:r>
          </w:p>
        </w:tc>
      </w:tr>
      <w:tr w:rsidR="00DD6C07" w:rsidRPr="00A334A3" w14:paraId="12E6312C" w14:textId="77777777" w:rsidTr="00A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7941407" w14:textId="77777777" w:rsidR="00DD6C07" w:rsidRPr="00A334A3" w:rsidRDefault="00DD6C07" w:rsidP="004542D5">
            <w:pPr>
              <w:spacing w:after="0" w:line="240" w:lineRule="auto"/>
              <w:rPr>
                <w:rFonts w:ascii="Times New Roman" w:hAnsi="Times New Roman" w:cs="Times New Roman"/>
                <w:bCs/>
                <w:sz w:val="22"/>
              </w:rPr>
            </w:pPr>
            <w:r w:rsidRPr="00A334A3">
              <w:rPr>
                <w:rFonts w:ascii="Times New Roman" w:hAnsi="Times New Roman" w:cs="Times New Roman"/>
                <w:bCs/>
                <w:sz w:val="22"/>
              </w:rPr>
              <w:t xml:space="preserve">Naziv akta za koji je provedeno savjetovanje s javnošću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6D134DF" w14:textId="38CB1A14" w:rsidR="00DD6C07" w:rsidRPr="00A334A3" w:rsidRDefault="00F64C38" w:rsidP="004542D5">
            <w:pPr>
              <w:spacing w:after="0" w:line="240" w:lineRule="auto"/>
              <w:rPr>
                <w:rFonts w:ascii="Times New Roman" w:hAnsi="Times New Roman" w:cs="Times New Roman"/>
                <w:bCs/>
                <w:sz w:val="22"/>
              </w:rPr>
            </w:pPr>
            <w:r w:rsidRPr="00A334A3">
              <w:rPr>
                <w:rFonts w:ascii="Times New Roman" w:hAnsi="Times New Roman" w:cs="Times New Roman"/>
                <w:sz w:val="22"/>
              </w:rPr>
              <w:t>Nacrt prijedloga Proračuna Grada Požege za razdoblje 20</w:t>
            </w:r>
            <w:r w:rsidR="00753AED" w:rsidRPr="00A334A3">
              <w:rPr>
                <w:rFonts w:ascii="Times New Roman" w:hAnsi="Times New Roman" w:cs="Times New Roman"/>
                <w:sz w:val="22"/>
              </w:rPr>
              <w:t>2</w:t>
            </w:r>
            <w:r w:rsidR="004A1C66">
              <w:rPr>
                <w:rFonts w:ascii="Times New Roman" w:hAnsi="Times New Roman" w:cs="Times New Roman"/>
                <w:sz w:val="22"/>
              </w:rPr>
              <w:t>1</w:t>
            </w:r>
            <w:r w:rsidRPr="00A334A3">
              <w:rPr>
                <w:rFonts w:ascii="Times New Roman" w:hAnsi="Times New Roman" w:cs="Times New Roman"/>
                <w:sz w:val="22"/>
              </w:rPr>
              <w:t>.-202</w:t>
            </w:r>
            <w:r w:rsidR="004A1C66">
              <w:rPr>
                <w:rFonts w:ascii="Times New Roman" w:hAnsi="Times New Roman" w:cs="Times New Roman"/>
                <w:sz w:val="22"/>
              </w:rPr>
              <w:t>3</w:t>
            </w:r>
            <w:r w:rsidRPr="00A334A3">
              <w:rPr>
                <w:rFonts w:ascii="Times New Roman" w:hAnsi="Times New Roman" w:cs="Times New Roman"/>
                <w:sz w:val="22"/>
              </w:rPr>
              <w:t>. godine</w:t>
            </w:r>
          </w:p>
        </w:tc>
      </w:tr>
      <w:tr w:rsidR="00DD6C07" w:rsidRPr="00A334A3" w14:paraId="565B1E5D" w14:textId="77777777" w:rsidTr="00A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23F91684" w14:textId="77777777" w:rsidR="00DD6C07" w:rsidRPr="00A334A3" w:rsidRDefault="00DD6C07" w:rsidP="004542D5">
            <w:pPr>
              <w:spacing w:after="0" w:line="240" w:lineRule="auto"/>
              <w:rPr>
                <w:rFonts w:ascii="Times New Roman" w:hAnsi="Times New Roman" w:cs="Times New Roman"/>
                <w:bCs/>
                <w:sz w:val="22"/>
              </w:rPr>
            </w:pPr>
            <w:r w:rsidRPr="00A334A3">
              <w:rPr>
                <w:rFonts w:ascii="Times New Roman" w:hAnsi="Times New Roman" w:cs="Times New Roman"/>
                <w:bCs/>
                <w:sz w:val="22"/>
              </w:rPr>
              <w:t xml:space="preserve">Naziv tijela nadležnog za izradu nacrta / provedbu savjetovanja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5E17BE7" w14:textId="77777777" w:rsidR="00DD6C07" w:rsidRPr="00A334A3" w:rsidRDefault="00DD6C07" w:rsidP="00F64C38">
            <w:pPr>
              <w:pStyle w:val="Odlomakpopisa"/>
              <w:spacing w:after="0" w:line="240" w:lineRule="auto"/>
              <w:rPr>
                <w:rFonts w:ascii="Times New Roman" w:hAnsi="Times New Roman" w:cs="Times New Roman"/>
                <w:bCs/>
                <w:sz w:val="22"/>
              </w:rPr>
            </w:pPr>
            <w:r w:rsidRPr="00A334A3">
              <w:rPr>
                <w:rFonts w:ascii="Times New Roman" w:hAnsi="Times New Roman" w:cs="Times New Roman"/>
                <w:bCs/>
                <w:sz w:val="22"/>
              </w:rPr>
              <w:t xml:space="preserve">Upravni odjel za </w:t>
            </w:r>
            <w:r w:rsidR="00F64C38" w:rsidRPr="00A334A3">
              <w:rPr>
                <w:rFonts w:ascii="Times New Roman" w:hAnsi="Times New Roman" w:cs="Times New Roman"/>
                <w:bCs/>
                <w:sz w:val="22"/>
              </w:rPr>
              <w:t>financije</w:t>
            </w:r>
          </w:p>
        </w:tc>
      </w:tr>
      <w:tr w:rsidR="00DD6C07" w:rsidRPr="00A334A3" w14:paraId="5038D337" w14:textId="77777777" w:rsidTr="00A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00A8C0A3" w14:textId="77777777" w:rsidR="00DD6C07" w:rsidRPr="00A334A3" w:rsidRDefault="00DD6C07" w:rsidP="004542D5">
            <w:pPr>
              <w:spacing w:after="0" w:line="240" w:lineRule="auto"/>
              <w:rPr>
                <w:rFonts w:ascii="Times New Roman" w:hAnsi="Times New Roman" w:cs="Times New Roman"/>
                <w:bCs/>
                <w:sz w:val="22"/>
              </w:rPr>
            </w:pPr>
            <w:r w:rsidRPr="00A334A3">
              <w:rPr>
                <w:rFonts w:ascii="Times New Roman" w:hAnsi="Times New Roman" w:cs="Times New Roman"/>
                <w:bCs/>
                <w:sz w:val="22"/>
              </w:rPr>
              <w:t>Razlozi za donošenje akta i ciljevi koji se njime žele postići uz sažetak ključnih pitanja</w:t>
            </w:r>
          </w:p>
        </w:tc>
        <w:tc>
          <w:tcPr>
            <w:tcW w:w="5476" w:type="dxa"/>
            <w:tcBorders>
              <w:top w:val="single" w:sz="4" w:space="0" w:color="365F91"/>
              <w:left w:val="single" w:sz="4" w:space="0" w:color="365F91"/>
              <w:bottom w:val="single" w:sz="4" w:space="0" w:color="365F91"/>
              <w:right w:val="single" w:sz="4" w:space="0" w:color="365F91"/>
            </w:tcBorders>
            <w:shd w:val="clear" w:color="auto" w:fill="auto"/>
          </w:tcPr>
          <w:p w14:paraId="64F2E170" w14:textId="77777777" w:rsidR="00DD6C07" w:rsidRPr="00A334A3" w:rsidRDefault="00F64C38" w:rsidP="00F64C38">
            <w:pPr>
              <w:spacing w:after="0" w:line="240" w:lineRule="auto"/>
              <w:rPr>
                <w:rFonts w:ascii="Times New Roman" w:hAnsi="Times New Roman" w:cs="Times New Roman"/>
                <w:bCs/>
                <w:sz w:val="22"/>
              </w:rPr>
            </w:pPr>
            <w:r w:rsidRPr="00A334A3">
              <w:rPr>
                <w:rFonts w:ascii="Times New Roman" w:hAnsi="Times New Roman" w:cs="Times New Roman"/>
                <w:bCs/>
                <w:sz w:val="22"/>
              </w:rPr>
              <w:t>Razlozi za donošenje akta: P</w:t>
            </w:r>
            <w:r w:rsidR="00DD6C07" w:rsidRPr="00A334A3">
              <w:rPr>
                <w:rFonts w:ascii="Times New Roman" w:hAnsi="Times New Roman" w:cs="Times New Roman"/>
                <w:bCs/>
                <w:sz w:val="22"/>
              </w:rPr>
              <w:t>ostupanje sukladno Zakonu o</w:t>
            </w:r>
            <w:r w:rsidR="00302D3B" w:rsidRPr="00A334A3">
              <w:rPr>
                <w:rFonts w:ascii="Times New Roman" w:hAnsi="Times New Roman" w:cs="Times New Roman"/>
                <w:bCs/>
                <w:sz w:val="22"/>
              </w:rPr>
              <w:t xml:space="preserve"> proračunu</w:t>
            </w:r>
            <w:r w:rsidRPr="00A334A3">
              <w:rPr>
                <w:rFonts w:ascii="Times New Roman" w:hAnsi="Times New Roman" w:cs="Times New Roman"/>
                <w:bCs/>
                <w:sz w:val="22"/>
              </w:rPr>
              <w:t xml:space="preserve"> </w:t>
            </w:r>
          </w:p>
          <w:p w14:paraId="54BF76AE" w14:textId="6699E527" w:rsidR="00F64C38" w:rsidRPr="00A334A3" w:rsidRDefault="00F64C38" w:rsidP="00F64C38">
            <w:pPr>
              <w:spacing w:after="0" w:line="240" w:lineRule="auto"/>
              <w:rPr>
                <w:rFonts w:ascii="Times New Roman" w:hAnsi="Times New Roman" w:cs="Times New Roman"/>
                <w:bCs/>
                <w:sz w:val="22"/>
              </w:rPr>
            </w:pPr>
            <w:r w:rsidRPr="00A334A3">
              <w:rPr>
                <w:rFonts w:ascii="Times New Roman" w:hAnsi="Times New Roman" w:cs="Times New Roman"/>
                <w:bCs/>
                <w:sz w:val="22"/>
              </w:rPr>
              <w:t>Ciljevi: Objavom Nacrta prijedloga Proračuna Grada Požege za razdoblje 20</w:t>
            </w:r>
            <w:r w:rsidR="00753AED" w:rsidRPr="00A334A3">
              <w:rPr>
                <w:rFonts w:ascii="Times New Roman" w:hAnsi="Times New Roman" w:cs="Times New Roman"/>
                <w:bCs/>
                <w:sz w:val="22"/>
              </w:rPr>
              <w:t>2</w:t>
            </w:r>
            <w:r w:rsidR="004A1C66">
              <w:rPr>
                <w:rFonts w:ascii="Times New Roman" w:hAnsi="Times New Roman" w:cs="Times New Roman"/>
                <w:bCs/>
                <w:sz w:val="22"/>
              </w:rPr>
              <w:t>1</w:t>
            </w:r>
            <w:r w:rsidRPr="00A334A3">
              <w:rPr>
                <w:rFonts w:ascii="Times New Roman" w:hAnsi="Times New Roman" w:cs="Times New Roman"/>
                <w:bCs/>
                <w:sz w:val="22"/>
              </w:rPr>
              <w:t>.-202</w:t>
            </w:r>
            <w:r w:rsidR="004A1C66">
              <w:rPr>
                <w:rFonts w:ascii="Times New Roman" w:hAnsi="Times New Roman" w:cs="Times New Roman"/>
                <w:bCs/>
                <w:sz w:val="22"/>
              </w:rPr>
              <w:t>3</w:t>
            </w:r>
            <w:r w:rsidRPr="00A334A3">
              <w:rPr>
                <w:rFonts w:ascii="Times New Roman" w:hAnsi="Times New Roman" w:cs="Times New Roman"/>
                <w:bCs/>
                <w:sz w:val="22"/>
              </w:rPr>
              <w:t>. pozvana je zainteresirana javnost da svojim prij</w:t>
            </w:r>
            <w:r w:rsidR="00302D3B" w:rsidRPr="00A334A3">
              <w:rPr>
                <w:rFonts w:ascii="Times New Roman" w:hAnsi="Times New Roman" w:cs="Times New Roman"/>
                <w:bCs/>
                <w:sz w:val="22"/>
              </w:rPr>
              <w:t>edlozima i sugestijama pridonese</w:t>
            </w:r>
            <w:r w:rsidRPr="00A334A3">
              <w:rPr>
                <w:rFonts w:ascii="Times New Roman" w:hAnsi="Times New Roman" w:cs="Times New Roman"/>
                <w:bCs/>
                <w:sz w:val="22"/>
              </w:rPr>
              <w:t xml:space="preserve"> donošenju kvalitetnijeg Proračuna Grada Požege za </w:t>
            </w:r>
            <w:r w:rsidR="00302D3B" w:rsidRPr="00A334A3">
              <w:rPr>
                <w:rFonts w:ascii="Times New Roman" w:hAnsi="Times New Roman" w:cs="Times New Roman"/>
                <w:bCs/>
                <w:sz w:val="22"/>
              </w:rPr>
              <w:t>razdoblje 20</w:t>
            </w:r>
            <w:r w:rsidR="00753AED" w:rsidRPr="00A334A3">
              <w:rPr>
                <w:rFonts w:ascii="Times New Roman" w:hAnsi="Times New Roman" w:cs="Times New Roman"/>
                <w:bCs/>
                <w:sz w:val="22"/>
              </w:rPr>
              <w:t>2</w:t>
            </w:r>
            <w:r w:rsidR="004A1C66">
              <w:rPr>
                <w:rFonts w:ascii="Times New Roman" w:hAnsi="Times New Roman" w:cs="Times New Roman"/>
                <w:bCs/>
                <w:sz w:val="22"/>
              </w:rPr>
              <w:t>1</w:t>
            </w:r>
            <w:r w:rsidR="00302D3B" w:rsidRPr="00A334A3">
              <w:rPr>
                <w:rFonts w:ascii="Times New Roman" w:hAnsi="Times New Roman" w:cs="Times New Roman"/>
                <w:bCs/>
                <w:sz w:val="22"/>
              </w:rPr>
              <w:t>. i projekcija za 202</w:t>
            </w:r>
            <w:r w:rsidR="004A1C66">
              <w:rPr>
                <w:rFonts w:ascii="Times New Roman" w:hAnsi="Times New Roman" w:cs="Times New Roman"/>
                <w:bCs/>
                <w:sz w:val="22"/>
              </w:rPr>
              <w:t>2</w:t>
            </w:r>
            <w:r w:rsidR="00302D3B" w:rsidRPr="00A334A3">
              <w:rPr>
                <w:rFonts w:ascii="Times New Roman" w:hAnsi="Times New Roman" w:cs="Times New Roman"/>
                <w:bCs/>
                <w:sz w:val="22"/>
              </w:rPr>
              <w:t>. i 202</w:t>
            </w:r>
            <w:r w:rsidR="004A1C66">
              <w:rPr>
                <w:rFonts w:ascii="Times New Roman" w:hAnsi="Times New Roman" w:cs="Times New Roman"/>
                <w:bCs/>
                <w:sz w:val="22"/>
              </w:rPr>
              <w:t>3</w:t>
            </w:r>
            <w:r w:rsidR="00302D3B" w:rsidRPr="00A334A3">
              <w:rPr>
                <w:rFonts w:ascii="Times New Roman" w:hAnsi="Times New Roman" w:cs="Times New Roman"/>
                <w:bCs/>
                <w:sz w:val="22"/>
              </w:rPr>
              <w:t>. godinu</w:t>
            </w:r>
          </w:p>
        </w:tc>
      </w:tr>
      <w:tr w:rsidR="00DD6C07" w:rsidRPr="00A334A3" w14:paraId="09BAC95F" w14:textId="77777777" w:rsidTr="00A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41"/>
          <w:jc w:val="center"/>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2F0BD54D" w14:textId="77777777" w:rsidR="00DD6C07" w:rsidRPr="00A334A3" w:rsidRDefault="00DD6C07" w:rsidP="004542D5">
            <w:pPr>
              <w:spacing w:after="0" w:line="240" w:lineRule="auto"/>
              <w:rPr>
                <w:rFonts w:ascii="Times New Roman" w:hAnsi="Times New Roman" w:cs="Times New Roman"/>
                <w:bCs/>
                <w:sz w:val="22"/>
              </w:rPr>
            </w:pPr>
            <w:r w:rsidRPr="00A334A3">
              <w:rPr>
                <w:rFonts w:ascii="Times New Roman" w:hAnsi="Times New Roman" w:cs="Times New Roman"/>
                <w:bCs/>
                <w:sz w:val="22"/>
              </w:rPr>
              <w:t>Objava dokumenata za savjetovanje</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B00029B" w14:textId="488C63F4" w:rsidR="00302D3B" w:rsidRPr="00A334A3" w:rsidRDefault="00302D3B" w:rsidP="004A1C66">
            <w:pPr>
              <w:pStyle w:val="StandardWeb"/>
              <w:shd w:val="clear" w:color="auto" w:fill="FFFFFF"/>
              <w:spacing w:before="0" w:beforeAutospacing="0" w:after="150" w:afterAutospacing="0"/>
              <w:rPr>
                <w:bCs/>
                <w:sz w:val="22"/>
                <w:szCs w:val="22"/>
              </w:rPr>
            </w:pPr>
            <w:r w:rsidRPr="00A334A3">
              <w:rPr>
                <w:bCs/>
                <w:sz w:val="22"/>
                <w:szCs w:val="22"/>
              </w:rPr>
              <w:t xml:space="preserve">-Obrazac sudjelovanja u postupku savjetovanja s javnošću </w:t>
            </w:r>
          </w:p>
          <w:p w14:paraId="7A70D8B6" w14:textId="1DCDCF94" w:rsidR="00302D3B" w:rsidRPr="00A334A3" w:rsidRDefault="004A1C66" w:rsidP="00302D3B">
            <w:pPr>
              <w:pStyle w:val="StandardWeb"/>
              <w:shd w:val="clear" w:color="auto" w:fill="FFFFFF"/>
              <w:spacing w:before="0" w:beforeAutospacing="0" w:after="150" w:afterAutospacing="0"/>
              <w:rPr>
                <w:bCs/>
                <w:sz w:val="22"/>
                <w:szCs w:val="22"/>
              </w:rPr>
            </w:pPr>
            <w:r>
              <w:rPr>
                <w:bCs/>
                <w:sz w:val="22"/>
                <w:szCs w:val="22"/>
              </w:rPr>
              <w:t xml:space="preserve">-Nacrt prijedloga Proračuna za  2021.-2023. godine </w:t>
            </w:r>
            <w:r w:rsidR="00302D3B" w:rsidRPr="00A334A3">
              <w:rPr>
                <w:bCs/>
                <w:sz w:val="22"/>
                <w:szCs w:val="22"/>
              </w:rPr>
              <w:t xml:space="preserve">Opći dio  </w:t>
            </w:r>
          </w:p>
          <w:p w14:paraId="5636A73E" w14:textId="6BDEE38A" w:rsidR="00302D3B" w:rsidRPr="00A334A3" w:rsidRDefault="00302D3B" w:rsidP="00302D3B">
            <w:pPr>
              <w:pStyle w:val="StandardWeb"/>
              <w:shd w:val="clear" w:color="auto" w:fill="FFFFFF"/>
              <w:spacing w:before="0" w:beforeAutospacing="0" w:after="150" w:afterAutospacing="0"/>
              <w:rPr>
                <w:bCs/>
                <w:sz w:val="22"/>
                <w:szCs w:val="22"/>
              </w:rPr>
            </w:pPr>
            <w:r w:rsidRPr="00A334A3">
              <w:rPr>
                <w:bCs/>
                <w:sz w:val="22"/>
                <w:szCs w:val="22"/>
              </w:rPr>
              <w:t>-</w:t>
            </w:r>
            <w:r w:rsidR="004A1C66">
              <w:rPr>
                <w:bCs/>
                <w:sz w:val="22"/>
                <w:szCs w:val="22"/>
              </w:rPr>
              <w:t xml:space="preserve">Nacrt prijedloga Proračuna za razdoblje 2021.-2023. godine </w:t>
            </w:r>
            <w:r w:rsidRPr="00A334A3">
              <w:rPr>
                <w:bCs/>
                <w:sz w:val="22"/>
                <w:szCs w:val="22"/>
              </w:rPr>
              <w:t xml:space="preserve">Posebni dio  </w:t>
            </w:r>
          </w:p>
        </w:tc>
      </w:tr>
      <w:tr w:rsidR="00DD6C07" w:rsidRPr="00A334A3" w14:paraId="36A1E032" w14:textId="77777777" w:rsidTr="00A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8"/>
          <w:jc w:val="center"/>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5DCBFECD" w14:textId="77777777" w:rsidR="00DD6C07" w:rsidRPr="00A334A3" w:rsidRDefault="00DD6C07" w:rsidP="004542D5">
            <w:pPr>
              <w:spacing w:after="0" w:line="240" w:lineRule="auto"/>
              <w:rPr>
                <w:rFonts w:ascii="Times New Roman" w:hAnsi="Times New Roman" w:cs="Times New Roman"/>
                <w:bCs/>
                <w:sz w:val="22"/>
              </w:rPr>
            </w:pPr>
            <w:r w:rsidRPr="00A334A3">
              <w:rPr>
                <w:rFonts w:ascii="Times New Roman" w:hAnsi="Times New Roman" w:cs="Times New Roman"/>
                <w:bCs/>
                <w:sz w:val="22"/>
              </w:rPr>
              <w:t>Razdoblje provedbe savjetovanja</w:t>
            </w:r>
          </w:p>
        </w:tc>
        <w:tc>
          <w:tcPr>
            <w:tcW w:w="5476" w:type="dxa"/>
            <w:tcBorders>
              <w:top w:val="single" w:sz="4" w:space="0" w:color="365F91"/>
              <w:left w:val="single" w:sz="4" w:space="0" w:color="365F91"/>
              <w:right w:val="single" w:sz="4" w:space="0" w:color="365F91"/>
            </w:tcBorders>
            <w:shd w:val="clear" w:color="auto" w:fill="auto"/>
            <w:vAlign w:val="center"/>
          </w:tcPr>
          <w:p w14:paraId="75FAEEA3" w14:textId="5A2EE59B" w:rsidR="00DD6C07" w:rsidRPr="00A334A3" w:rsidRDefault="00DD6C07" w:rsidP="00302D3B">
            <w:pPr>
              <w:pStyle w:val="Odlomakpopisa"/>
              <w:numPr>
                <w:ilvl w:val="0"/>
                <w:numId w:val="2"/>
              </w:numPr>
              <w:spacing w:after="0" w:line="240" w:lineRule="auto"/>
              <w:rPr>
                <w:rFonts w:ascii="Times New Roman" w:hAnsi="Times New Roman" w:cs="Times New Roman"/>
                <w:bCs/>
                <w:sz w:val="22"/>
              </w:rPr>
            </w:pPr>
            <w:r w:rsidRPr="00A334A3">
              <w:rPr>
                <w:rFonts w:ascii="Times New Roman" w:hAnsi="Times New Roman" w:cs="Times New Roman"/>
                <w:bCs/>
                <w:sz w:val="22"/>
              </w:rPr>
              <w:t>od 1</w:t>
            </w:r>
            <w:r w:rsidR="004A1C66">
              <w:rPr>
                <w:rFonts w:ascii="Times New Roman" w:hAnsi="Times New Roman" w:cs="Times New Roman"/>
                <w:bCs/>
                <w:sz w:val="22"/>
              </w:rPr>
              <w:t>4</w:t>
            </w:r>
            <w:r w:rsidRPr="00A334A3">
              <w:rPr>
                <w:rFonts w:ascii="Times New Roman" w:hAnsi="Times New Roman" w:cs="Times New Roman"/>
                <w:bCs/>
                <w:sz w:val="22"/>
              </w:rPr>
              <w:t>.</w:t>
            </w:r>
            <w:r w:rsidR="00302D3B" w:rsidRPr="00A334A3">
              <w:rPr>
                <w:rFonts w:ascii="Times New Roman" w:hAnsi="Times New Roman" w:cs="Times New Roman"/>
                <w:bCs/>
                <w:sz w:val="22"/>
              </w:rPr>
              <w:t xml:space="preserve"> listopada</w:t>
            </w:r>
            <w:r w:rsidRPr="00A334A3">
              <w:rPr>
                <w:rFonts w:ascii="Times New Roman" w:hAnsi="Times New Roman" w:cs="Times New Roman"/>
                <w:bCs/>
                <w:sz w:val="22"/>
              </w:rPr>
              <w:t xml:space="preserve">  do </w:t>
            </w:r>
            <w:r w:rsidR="00302D3B" w:rsidRPr="00A334A3">
              <w:rPr>
                <w:rFonts w:ascii="Times New Roman" w:hAnsi="Times New Roman" w:cs="Times New Roman"/>
                <w:bCs/>
                <w:sz w:val="22"/>
              </w:rPr>
              <w:t>1</w:t>
            </w:r>
            <w:r w:rsidR="004A1C66">
              <w:rPr>
                <w:rFonts w:ascii="Times New Roman" w:hAnsi="Times New Roman" w:cs="Times New Roman"/>
                <w:bCs/>
                <w:sz w:val="22"/>
              </w:rPr>
              <w:t>2</w:t>
            </w:r>
            <w:r w:rsidRPr="00A334A3">
              <w:rPr>
                <w:rFonts w:ascii="Times New Roman" w:hAnsi="Times New Roman" w:cs="Times New Roman"/>
                <w:bCs/>
                <w:sz w:val="22"/>
              </w:rPr>
              <w:t xml:space="preserve">. </w:t>
            </w:r>
            <w:r w:rsidR="00302D3B" w:rsidRPr="00A334A3">
              <w:rPr>
                <w:rFonts w:ascii="Times New Roman" w:hAnsi="Times New Roman" w:cs="Times New Roman"/>
                <w:bCs/>
                <w:sz w:val="22"/>
              </w:rPr>
              <w:t>studenog</w:t>
            </w:r>
            <w:r w:rsidRPr="00A334A3">
              <w:rPr>
                <w:rFonts w:ascii="Times New Roman" w:hAnsi="Times New Roman" w:cs="Times New Roman"/>
                <w:bCs/>
                <w:sz w:val="22"/>
              </w:rPr>
              <w:t xml:space="preserve"> 20</w:t>
            </w:r>
            <w:r w:rsidR="004A1C66">
              <w:rPr>
                <w:rFonts w:ascii="Times New Roman" w:hAnsi="Times New Roman" w:cs="Times New Roman"/>
                <w:bCs/>
                <w:sz w:val="22"/>
              </w:rPr>
              <w:t>20</w:t>
            </w:r>
            <w:r w:rsidRPr="00A334A3">
              <w:rPr>
                <w:rFonts w:ascii="Times New Roman" w:hAnsi="Times New Roman" w:cs="Times New Roman"/>
                <w:bCs/>
                <w:sz w:val="22"/>
              </w:rPr>
              <w:t xml:space="preserve">. godine </w:t>
            </w:r>
          </w:p>
        </w:tc>
      </w:tr>
      <w:tr w:rsidR="00DD6C07" w:rsidRPr="00A334A3" w14:paraId="4861CC1F" w14:textId="77777777" w:rsidTr="00A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7B22B71A" w14:textId="77777777" w:rsidR="00DD6C07" w:rsidRPr="00A334A3" w:rsidRDefault="00DD6C07" w:rsidP="004542D5">
            <w:pPr>
              <w:spacing w:after="0" w:line="240" w:lineRule="auto"/>
              <w:rPr>
                <w:rFonts w:ascii="Times New Roman" w:hAnsi="Times New Roman" w:cs="Times New Roman"/>
                <w:bCs/>
                <w:sz w:val="22"/>
              </w:rPr>
            </w:pPr>
            <w:r w:rsidRPr="00A334A3">
              <w:rPr>
                <w:rFonts w:ascii="Times New Roman" w:hAnsi="Times New Roman" w:cs="Times New Roman"/>
                <w:bCs/>
                <w:sz w:val="22"/>
              </w:rPr>
              <w:t xml:space="preserve">Pregled osnovnih pokazatelja  uključenosti savjetovanja s javnošću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DD75195" w14:textId="2B2AEF58" w:rsidR="00DD6C07" w:rsidRPr="00A334A3" w:rsidRDefault="00A334A3" w:rsidP="00A334A3">
            <w:pPr>
              <w:pStyle w:val="Odlomakpopisa"/>
              <w:spacing w:after="0" w:line="240" w:lineRule="auto"/>
              <w:ind w:left="765"/>
              <w:rPr>
                <w:rFonts w:ascii="Times New Roman" w:hAnsi="Times New Roman" w:cs="Times New Roman"/>
                <w:bCs/>
                <w:iCs/>
                <w:sz w:val="22"/>
              </w:rPr>
            </w:pPr>
            <w:r>
              <w:rPr>
                <w:rFonts w:ascii="Times New Roman" w:hAnsi="Times New Roman" w:cs="Times New Roman"/>
                <w:bCs/>
                <w:iCs/>
                <w:sz w:val="22"/>
              </w:rPr>
              <w:t>-</w:t>
            </w:r>
          </w:p>
        </w:tc>
      </w:tr>
      <w:tr w:rsidR="00DD6C07" w:rsidRPr="00A334A3" w14:paraId="3D62F180" w14:textId="77777777" w:rsidTr="00A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AE09900" w14:textId="77777777" w:rsidR="00DD6C07" w:rsidRPr="00A334A3" w:rsidRDefault="00DD6C07" w:rsidP="004542D5">
            <w:pPr>
              <w:spacing w:after="0" w:line="240" w:lineRule="auto"/>
              <w:rPr>
                <w:rFonts w:ascii="Times New Roman" w:hAnsi="Times New Roman" w:cs="Times New Roman"/>
                <w:bCs/>
                <w:sz w:val="22"/>
              </w:rPr>
            </w:pPr>
            <w:r w:rsidRPr="00A334A3">
              <w:rPr>
                <w:rFonts w:ascii="Times New Roman" w:hAnsi="Times New Roman" w:cs="Times New Roman"/>
                <w:bCs/>
                <w:sz w:val="22"/>
              </w:rPr>
              <w:t xml:space="preserve">Pregled prihvaćenih i neprihvaćenih mišljenja i prijedloga s obrazloženjem razloga za neprihvaćanje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F02E4F1" w14:textId="0E70684E" w:rsidR="00DD6C07" w:rsidRDefault="00503978" w:rsidP="004232B9">
            <w:pPr>
              <w:spacing w:after="0" w:line="240" w:lineRule="auto"/>
              <w:rPr>
                <w:rFonts w:ascii="Times New Roman" w:hAnsi="Times New Roman" w:cs="Times New Roman"/>
                <w:bCs/>
                <w:sz w:val="22"/>
              </w:rPr>
            </w:pPr>
            <w:r>
              <w:rPr>
                <w:rFonts w:ascii="Times New Roman" w:hAnsi="Times New Roman" w:cs="Times New Roman"/>
                <w:bCs/>
                <w:sz w:val="22"/>
              </w:rPr>
              <w:t>1)</w:t>
            </w:r>
            <w:r w:rsidR="004232B9" w:rsidRPr="00A334A3">
              <w:rPr>
                <w:rFonts w:ascii="Times New Roman" w:hAnsi="Times New Roman" w:cs="Times New Roman"/>
                <w:bCs/>
                <w:sz w:val="22"/>
              </w:rPr>
              <w:t xml:space="preserve">Prijedlog HSLS </w:t>
            </w:r>
            <w:r w:rsidR="004A1C66">
              <w:rPr>
                <w:rFonts w:ascii="Times New Roman" w:hAnsi="Times New Roman" w:cs="Times New Roman"/>
                <w:bCs/>
                <w:sz w:val="22"/>
              </w:rPr>
              <w:t>PSŽ,  Daniel Majer</w:t>
            </w:r>
            <w:r w:rsidR="004232B9" w:rsidRPr="00A334A3">
              <w:rPr>
                <w:rFonts w:ascii="Times New Roman" w:hAnsi="Times New Roman" w:cs="Times New Roman"/>
                <w:bCs/>
                <w:sz w:val="22"/>
              </w:rPr>
              <w:t>– NE PRIHVAĆA SE</w:t>
            </w:r>
          </w:p>
          <w:p w14:paraId="6A4A4508" w14:textId="77777777" w:rsidR="00503978" w:rsidRDefault="00503978" w:rsidP="004232B9">
            <w:pPr>
              <w:spacing w:after="0" w:line="240" w:lineRule="auto"/>
              <w:rPr>
                <w:rFonts w:ascii="Times New Roman" w:hAnsi="Times New Roman" w:cs="Times New Roman"/>
                <w:bCs/>
                <w:sz w:val="22"/>
              </w:rPr>
            </w:pPr>
            <w:r>
              <w:rPr>
                <w:rFonts w:ascii="Times New Roman" w:hAnsi="Times New Roman" w:cs="Times New Roman"/>
                <w:bCs/>
                <w:sz w:val="22"/>
              </w:rPr>
              <w:t>2)Prijedlog Miro Rašić-DJELOMIČNO SE PRIHVAĆA</w:t>
            </w:r>
          </w:p>
          <w:p w14:paraId="455A89BD" w14:textId="05C26CE7" w:rsidR="00503978" w:rsidRPr="00A334A3" w:rsidRDefault="00503978" w:rsidP="004232B9">
            <w:pPr>
              <w:spacing w:after="0" w:line="240" w:lineRule="auto"/>
              <w:rPr>
                <w:rFonts w:ascii="Times New Roman" w:hAnsi="Times New Roman" w:cs="Times New Roman"/>
                <w:bCs/>
                <w:sz w:val="22"/>
              </w:rPr>
            </w:pPr>
            <w:r>
              <w:rPr>
                <w:rFonts w:ascii="Times New Roman" w:hAnsi="Times New Roman" w:cs="Times New Roman"/>
                <w:bCs/>
                <w:sz w:val="22"/>
              </w:rPr>
              <w:t>3)Prijedlog Miro Rašić – DJELOMIČNO SE PRIHVAĆA</w:t>
            </w:r>
          </w:p>
        </w:tc>
      </w:tr>
      <w:tr w:rsidR="00DD6C07" w:rsidRPr="00A334A3" w14:paraId="6247F319" w14:textId="77777777" w:rsidTr="00A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
          <w:jc w:val="center"/>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17D78D2D" w14:textId="77777777" w:rsidR="00DD6C07" w:rsidRPr="00A334A3" w:rsidRDefault="00DD6C07" w:rsidP="004542D5">
            <w:pPr>
              <w:spacing w:after="0" w:line="240" w:lineRule="auto"/>
              <w:rPr>
                <w:rFonts w:ascii="Times New Roman" w:hAnsi="Times New Roman" w:cs="Times New Roman"/>
                <w:bCs/>
                <w:sz w:val="22"/>
              </w:rPr>
            </w:pPr>
            <w:r w:rsidRPr="00A334A3">
              <w:rPr>
                <w:rFonts w:ascii="Times New Roman" w:hAnsi="Times New Roman" w:cs="Times New Roman"/>
                <w:bCs/>
                <w:sz w:val="22"/>
              </w:rPr>
              <w:t xml:space="preserve">Ostali oblici savjetovanja s javnošću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34FAA60" w14:textId="56795B34" w:rsidR="00DD6C07" w:rsidRPr="00A334A3" w:rsidRDefault="00A334A3" w:rsidP="00A334A3">
            <w:pPr>
              <w:pStyle w:val="Odlomakpopisa"/>
              <w:spacing w:after="0" w:line="240" w:lineRule="auto"/>
              <w:ind w:left="689"/>
              <w:rPr>
                <w:rFonts w:ascii="Times New Roman" w:hAnsi="Times New Roman" w:cs="Times New Roman"/>
                <w:bCs/>
                <w:sz w:val="22"/>
              </w:rPr>
            </w:pPr>
            <w:r>
              <w:rPr>
                <w:rFonts w:ascii="Times New Roman" w:hAnsi="Times New Roman" w:cs="Times New Roman"/>
                <w:bCs/>
                <w:sz w:val="22"/>
              </w:rPr>
              <w:t>-</w:t>
            </w:r>
          </w:p>
        </w:tc>
      </w:tr>
      <w:tr w:rsidR="00DD6C07" w:rsidRPr="00A334A3" w14:paraId="06349DE6" w14:textId="77777777" w:rsidTr="00A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9"/>
          <w:jc w:val="center"/>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7D45F832" w14:textId="77777777" w:rsidR="00DD6C07" w:rsidRPr="00A334A3" w:rsidRDefault="00DD6C07" w:rsidP="004542D5">
            <w:pPr>
              <w:spacing w:after="0" w:line="240" w:lineRule="auto"/>
              <w:rPr>
                <w:rFonts w:ascii="Times New Roman" w:hAnsi="Times New Roman" w:cs="Times New Roman"/>
                <w:bCs/>
                <w:sz w:val="22"/>
              </w:rPr>
            </w:pPr>
            <w:r w:rsidRPr="00A334A3">
              <w:rPr>
                <w:rFonts w:ascii="Times New Roman" w:hAnsi="Times New Roman" w:cs="Times New Roman"/>
                <w:bCs/>
                <w:sz w:val="22"/>
              </w:rPr>
              <w:t>Troškovi provedenog savjetovanja</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004F8882" w14:textId="544A91C1" w:rsidR="00DD6C07" w:rsidRPr="00A334A3" w:rsidRDefault="00A334A3" w:rsidP="00A334A3">
            <w:pPr>
              <w:pStyle w:val="Odlomakpopisa"/>
              <w:spacing w:after="0" w:line="240" w:lineRule="auto"/>
              <w:jc w:val="both"/>
              <w:rPr>
                <w:rFonts w:ascii="Times New Roman" w:hAnsi="Times New Roman" w:cs="Times New Roman"/>
                <w:bCs/>
                <w:sz w:val="22"/>
              </w:rPr>
            </w:pPr>
            <w:r>
              <w:rPr>
                <w:rFonts w:ascii="Times New Roman" w:hAnsi="Times New Roman" w:cs="Times New Roman"/>
                <w:bCs/>
                <w:iCs/>
                <w:sz w:val="22"/>
              </w:rPr>
              <w:t>-</w:t>
            </w:r>
          </w:p>
        </w:tc>
      </w:tr>
    </w:tbl>
    <w:p w14:paraId="2B9A3CA6" w14:textId="476F468B" w:rsidR="00A334A3" w:rsidRDefault="00A334A3" w:rsidP="00DD6C07">
      <w:pPr>
        <w:spacing w:after="0" w:line="240" w:lineRule="auto"/>
        <w:rPr>
          <w:rFonts w:ascii="Times New Roman" w:eastAsia="Calibri" w:hAnsi="Times New Roman" w:cs="Times New Roman"/>
          <w:b/>
          <w:bCs/>
          <w:sz w:val="22"/>
        </w:rPr>
      </w:pPr>
      <w:bookmarkStart w:id="0" w:name="_Toc468978618"/>
    </w:p>
    <w:p w14:paraId="12F21F56" w14:textId="77777777" w:rsidR="00A334A3" w:rsidRDefault="00A334A3">
      <w:pPr>
        <w:spacing w:line="259" w:lineRule="auto"/>
        <w:rPr>
          <w:rFonts w:ascii="Times New Roman" w:eastAsia="Calibri" w:hAnsi="Times New Roman" w:cs="Times New Roman"/>
          <w:b/>
          <w:bCs/>
          <w:sz w:val="22"/>
        </w:rPr>
      </w:pPr>
      <w:r>
        <w:rPr>
          <w:rFonts w:ascii="Times New Roman" w:eastAsia="Calibri" w:hAnsi="Times New Roman" w:cs="Times New Roman"/>
          <w:b/>
          <w:bCs/>
          <w:sz w:val="22"/>
        </w:rPr>
        <w:br w:type="page"/>
      </w:r>
    </w:p>
    <w:p w14:paraId="57158814" w14:textId="77777777" w:rsidR="00DD6C07" w:rsidRPr="00A334A3" w:rsidRDefault="00DD6C07" w:rsidP="00DD6C07">
      <w:pPr>
        <w:spacing w:after="0" w:line="240" w:lineRule="auto"/>
        <w:rPr>
          <w:rFonts w:ascii="Times New Roman" w:eastAsia="Calibri" w:hAnsi="Times New Roman" w:cs="Times New Roman"/>
          <w:b/>
          <w:bCs/>
          <w:sz w:val="22"/>
        </w:rPr>
      </w:pPr>
      <w:r w:rsidRPr="00A334A3">
        <w:rPr>
          <w:rFonts w:ascii="Times New Roman" w:eastAsia="Calibri" w:hAnsi="Times New Roman" w:cs="Times New Roman"/>
          <w:b/>
          <w:bCs/>
          <w:sz w:val="22"/>
        </w:rPr>
        <w:lastRenderedPageBreak/>
        <w:t>Pregled prihvaćenih i neprihvaćenih primjedbi</w:t>
      </w:r>
      <w:bookmarkEnd w:id="0"/>
    </w:p>
    <w:tbl>
      <w:tblPr>
        <w:tblW w:w="9639"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686"/>
        <w:gridCol w:w="1418"/>
        <w:gridCol w:w="1701"/>
        <w:gridCol w:w="3118"/>
        <w:gridCol w:w="2716"/>
      </w:tblGrid>
      <w:tr w:rsidR="00DD6C07" w:rsidRPr="00A334A3" w14:paraId="0EF5D95A" w14:textId="77777777" w:rsidTr="00D43F6F">
        <w:trPr>
          <w:jc w:val="center"/>
        </w:trPr>
        <w:tc>
          <w:tcPr>
            <w:tcW w:w="686" w:type="dxa"/>
            <w:vAlign w:val="center"/>
          </w:tcPr>
          <w:p w14:paraId="70123DC5" w14:textId="20859DC1" w:rsidR="00DD6C07" w:rsidRPr="00A334A3" w:rsidRDefault="00DD6C07" w:rsidP="004542D5">
            <w:pPr>
              <w:spacing w:after="0" w:line="240" w:lineRule="auto"/>
              <w:jc w:val="center"/>
              <w:rPr>
                <w:rFonts w:ascii="Times New Roman" w:hAnsi="Times New Roman" w:cs="Times New Roman"/>
                <w:sz w:val="22"/>
              </w:rPr>
            </w:pPr>
            <w:r w:rsidRPr="00A334A3">
              <w:rPr>
                <w:rFonts w:ascii="Times New Roman" w:hAnsi="Times New Roman" w:cs="Times New Roman"/>
                <w:sz w:val="22"/>
              </w:rPr>
              <w:t>Red</w:t>
            </w:r>
            <w:r w:rsidR="00A334A3">
              <w:rPr>
                <w:rFonts w:ascii="Times New Roman" w:hAnsi="Times New Roman" w:cs="Times New Roman"/>
                <w:sz w:val="22"/>
              </w:rPr>
              <w:t>.</w:t>
            </w:r>
            <w:r w:rsidRPr="00A334A3">
              <w:rPr>
                <w:rFonts w:ascii="Times New Roman" w:hAnsi="Times New Roman" w:cs="Times New Roman"/>
                <w:sz w:val="22"/>
              </w:rPr>
              <w:t xml:space="preserve"> broj</w:t>
            </w:r>
          </w:p>
        </w:tc>
        <w:tc>
          <w:tcPr>
            <w:tcW w:w="1418" w:type="dxa"/>
            <w:vAlign w:val="center"/>
          </w:tcPr>
          <w:p w14:paraId="06D89047" w14:textId="77777777" w:rsidR="00DD6C07" w:rsidRPr="00A334A3" w:rsidRDefault="00DD6C07" w:rsidP="004542D5">
            <w:pPr>
              <w:spacing w:after="0" w:line="240" w:lineRule="auto"/>
              <w:jc w:val="center"/>
              <w:rPr>
                <w:rFonts w:ascii="Times New Roman" w:hAnsi="Times New Roman" w:cs="Times New Roman"/>
                <w:sz w:val="22"/>
              </w:rPr>
            </w:pPr>
            <w:r w:rsidRPr="00A334A3">
              <w:rPr>
                <w:rFonts w:ascii="Times New Roman" w:hAnsi="Times New Roman" w:cs="Times New Roman"/>
                <w:sz w:val="22"/>
              </w:rPr>
              <w:t>Sudionik savjetovanja (ime i prezime pojedinca, naziv organizacije)</w:t>
            </w:r>
          </w:p>
        </w:tc>
        <w:tc>
          <w:tcPr>
            <w:tcW w:w="1701" w:type="dxa"/>
            <w:vAlign w:val="center"/>
          </w:tcPr>
          <w:p w14:paraId="3D23A1E0" w14:textId="77777777" w:rsidR="00DD6C07" w:rsidRPr="00A334A3" w:rsidRDefault="00DD6C07" w:rsidP="004542D5">
            <w:pPr>
              <w:spacing w:after="0" w:line="240" w:lineRule="auto"/>
              <w:jc w:val="center"/>
              <w:rPr>
                <w:rFonts w:ascii="Times New Roman" w:hAnsi="Times New Roman" w:cs="Times New Roman"/>
                <w:sz w:val="22"/>
              </w:rPr>
            </w:pPr>
            <w:r w:rsidRPr="00A334A3">
              <w:rPr>
                <w:rFonts w:ascii="Times New Roman" w:hAnsi="Times New Roman" w:cs="Times New Roman"/>
                <w:sz w:val="22"/>
              </w:rPr>
              <w:t>Članak ili drugi dio nacrta na koji se odnosi prijedlog ili mišljenje</w:t>
            </w:r>
          </w:p>
        </w:tc>
        <w:tc>
          <w:tcPr>
            <w:tcW w:w="3118" w:type="dxa"/>
            <w:vAlign w:val="center"/>
          </w:tcPr>
          <w:p w14:paraId="1B05DD0D" w14:textId="77777777" w:rsidR="00DD6C07" w:rsidRPr="00A334A3" w:rsidRDefault="00DD6C07" w:rsidP="004542D5">
            <w:pPr>
              <w:spacing w:after="0" w:line="240" w:lineRule="auto"/>
              <w:jc w:val="center"/>
              <w:rPr>
                <w:rFonts w:ascii="Times New Roman" w:hAnsi="Times New Roman" w:cs="Times New Roman"/>
                <w:sz w:val="22"/>
              </w:rPr>
            </w:pPr>
            <w:r w:rsidRPr="00A334A3">
              <w:rPr>
                <w:rFonts w:ascii="Times New Roman" w:hAnsi="Times New Roman" w:cs="Times New Roman"/>
                <w:sz w:val="22"/>
              </w:rPr>
              <w:t>Tekst zaprimljenog prijedloga ili mišljenja</w:t>
            </w:r>
          </w:p>
        </w:tc>
        <w:tc>
          <w:tcPr>
            <w:tcW w:w="2716" w:type="dxa"/>
            <w:vAlign w:val="center"/>
          </w:tcPr>
          <w:p w14:paraId="4AFE0AEC" w14:textId="77777777" w:rsidR="00DD6C07" w:rsidRPr="00A334A3" w:rsidRDefault="00DD6C07" w:rsidP="004542D5">
            <w:pPr>
              <w:spacing w:after="0" w:line="240" w:lineRule="auto"/>
              <w:jc w:val="center"/>
              <w:rPr>
                <w:rFonts w:ascii="Times New Roman" w:hAnsi="Times New Roman" w:cs="Times New Roman"/>
                <w:sz w:val="22"/>
              </w:rPr>
            </w:pPr>
            <w:r w:rsidRPr="00A334A3">
              <w:rPr>
                <w:rFonts w:ascii="Times New Roman" w:hAnsi="Times New Roman" w:cs="Times New Roman"/>
                <w:sz w:val="22"/>
              </w:rPr>
              <w:t xml:space="preserve">Status prijedloga ili mišljenja (prihvaćanje/neprihvaćanje s  obrazloženjem) </w:t>
            </w:r>
          </w:p>
        </w:tc>
      </w:tr>
      <w:tr w:rsidR="00866AF9" w:rsidRPr="00A334A3" w14:paraId="68DCACE5" w14:textId="77777777" w:rsidTr="00D43F6F">
        <w:trPr>
          <w:trHeight w:val="1413"/>
          <w:jc w:val="center"/>
        </w:trPr>
        <w:tc>
          <w:tcPr>
            <w:tcW w:w="686" w:type="dxa"/>
          </w:tcPr>
          <w:p w14:paraId="08A00E77" w14:textId="77777777" w:rsidR="00866AF9" w:rsidRPr="00A334A3" w:rsidRDefault="00866AF9" w:rsidP="00866AF9">
            <w:pPr>
              <w:spacing w:after="0" w:line="240" w:lineRule="auto"/>
              <w:jc w:val="both"/>
              <w:rPr>
                <w:rFonts w:ascii="Times New Roman" w:hAnsi="Times New Roman" w:cs="Times New Roman"/>
                <w:sz w:val="22"/>
              </w:rPr>
            </w:pPr>
            <w:r w:rsidRPr="00A334A3">
              <w:rPr>
                <w:rFonts w:ascii="Times New Roman" w:hAnsi="Times New Roman" w:cs="Times New Roman"/>
                <w:sz w:val="22"/>
              </w:rPr>
              <w:t>1.</w:t>
            </w:r>
          </w:p>
        </w:tc>
        <w:tc>
          <w:tcPr>
            <w:tcW w:w="1418" w:type="dxa"/>
          </w:tcPr>
          <w:p w14:paraId="7F57AA9E" w14:textId="4FF67005" w:rsidR="00866AF9" w:rsidRPr="00A334A3" w:rsidRDefault="00866AF9" w:rsidP="00866AF9">
            <w:pPr>
              <w:spacing w:after="0" w:line="240" w:lineRule="auto"/>
              <w:jc w:val="both"/>
              <w:rPr>
                <w:rFonts w:ascii="Times New Roman" w:hAnsi="Times New Roman" w:cs="Times New Roman"/>
                <w:sz w:val="22"/>
              </w:rPr>
            </w:pPr>
            <w:r w:rsidRPr="00A334A3">
              <w:rPr>
                <w:rFonts w:ascii="Times New Roman" w:hAnsi="Times New Roman" w:cs="Times New Roman"/>
                <w:sz w:val="22"/>
              </w:rPr>
              <w:t>HSLS</w:t>
            </w:r>
            <w:r w:rsidR="00D4594E">
              <w:rPr>
                <w:rFonts w:ascii="Times New Roman" w:hAnsi="Times New Roman" w:cs="Times New Roman"/>
                <w:sz w:val="22"/>
              </w:rPr>
              <w:t xml:space="preserve"> PSŽ,  Daniel Majer</w:t>
            </w:r>
          </w:p>
        </w:tc>
        <w:tc>
          <w:tcPr>
            <w:tcW w:w="1701" w:type="dxa"/>
          </w:tcPr>
          <w:p w14:paraId="613962DC" w14:textId="6DB95D31" w:rsidR="00866AF9" w:rsidRPr="00A334A3" w:rsidRDefault="00866AF9" w:rsidP="00866AF9">
            <w:pPr>
              <w:spacing w:after="0" w:line="240" w:lineRule="auto"/>
              <w:jc w:val="both"/>
              <w:rPr>
                <w:rFonts w:ascii="Times New Roman" w:hAnsi="Times New Roman" w:cs="Times New Roman"/>
                <w:sz w:val="22"/>
              </w:rPr>
            </w:pPr>
            <w:r w:rsidRPr="00A334A3">
              <w:rPr>
                <w:rFonts w:ascii="Times New Roman" w:hAnsi="Times New Roman" w:cs="Times New Roman"/>
                <w:sz w:val="22"/>
              </w:rPr>
              <w:t xml:space="preserve">Nacrt </w:t>
            </w:r>
            <w:r w:rsidR="004A1C66">
              <w:rPr>
                <w:rFonts w:ascii="Times New Roman" w:hAnsi="Times New Roman" w:cs="Times New Roman"/>
                <w:sz w:val="22"/>
              </w:rPr>
              <w:t>prijedloga</w:t>
            </w:r>
            <w:r w:rsidRPr="00A334A3">
              <w:rPr>
                <w:rFonts w:ascii="Times New Roman" w:hAnsi="Times New Roman" w:cs="Times New Roman"/>
                <w:sz w:val="22"/>
              </w:rPr>
              <w:t xml:space="preserve"> Proračuna </w:t>
            </w:r>
            <w:r w:rsidR="004A1C66">
              <w:rPr>
                <w:rFonts w:ascii="Times New Roman" w:hAnsi="Times New Roman" w:cs="Times New Roman"/>
                <w:sz w:val="22"/>
              </w:rPr>
              <w:t>za 2021.-2023. godinu</w:t>
            </w:r>
            <w:r w:rsidR="00D4594E">
              <w:rPr>
                <w:rFonts w:ascii="Times New Roman" w:hAnsi="Times New Roman" w:cs="Times New Roman"/>
                <w:sz w:val="22"/>
              </w:rPr>
              <w:t xml:space="preserve"> -</w:t>
            </w:r>
            <w:r w:rsidR="004A1C66">
              <w:rPr>
                <w:rFonts w:ascii="Times New Roman" w:hAnsi="Times New Roman" w:cs="Times New Roman"/>
                <w:sz w:val="22"/>
              </w:rPr>
              <w:t xml:space="preserve"> Opći i Posebni dio</w:t>
            </w:r>
          </w:p>
        </w:tc>
        <w:tc>
          <w:tcPr>
            <w:tcW w:w="3118" w:type="dxa"/>
          </w:tcPr>
          <w:p w14:paraId="1E786D40" w14:textId="77777777" w:rsidR="00866AF9" w:rsidRPr="00A334A3" w:rsidRDefault="00866AF9" w:rsidP="004A1C66">
            <w:pPr>
              <w:spacing w:after="0" w:line="240" w:lineRule="auto"/>
              <w:rPr>
                <w:rFonts w:ascii="Times New Roman" w:hAnsi="Times New Roman" w:cs="Times New Roman"/>
                <w:sz w:val="22"/>
              </w:rPr>
            </w:pPr>
          </w:p>
        </w:tc>
        <w:tc>
          <w:tcPr>
            <w:tcW w:w="2716" w:type="dxa"/>
          </w:tcPr>
          <w:p w14:paraId="0D03E108" w14:textId="77777777" w:rsidR="00866AF9" w:rsidRPr="00A334A3" w:rsidRDefault="00866AF9" w:rsidP="00866AF9">
            <w:pPr>
              <w:spacing w:after="0" w:line="240" w:lineRule="auto"/>
              <w:rPr>
                <w:rFonts w:ascii="Times New Roman" w:hAnsi="Times New Roman" w:cs="Times New Roman"/>
                <w:b/>
                <w:sz w:val="22"/>
              </w:rPr>
            </w:pPr>
          </w:p>
        </w:tc>
      </w:tr>
      <w:tr w:rsidR="00503978" w:rsidRPr="00503978" w14:paraId="7557ADCE" w14:textId="77777777" w:rsidTr="00D43F6F">
        <w:trPr>
          <w:trHeight w:val="5673"/>
          <w:jc w:val="center"/>
        </w:trPr>
        <w:tc>
          <w:tcPr>
            <w:tcW w:w="686" w:type="dxa"/>
          </w:tcPr>
          <w:p w14:paraId="74E1C7D9" w14:textId="77777777" w:rsidR="00866AF9" w:rsidRPr="00A334A3" w:rsidRDefault="00866AF9" w:rsidP="00866AF9">
            <w:pPr>
              <w:spacing w:after="0" w:line="240" w:lineRule="auto"/>
              <w:jc w:val="both"/>
              <w:rPr>
                <w:rFonts w:ascii="Times New Roman" w:hAnsi="Times New Roman" w:cs="Times New Roman"/>
                <w:sz w:val="22"/>
              </w:rPr>
            </w:pPr>
          </w:p>
        </w:tc>
        <w:tc>
          <w:tcPr>
            <w:tcW w:w="1418" w:type="dxa"/>
          </w:tcPr>
          <w:p w14:paraId="14BCB6F0" w14:textId="77777777" w:rsidR="00866AF9" w:rsidRPr="00A334A3" w:rsidRDefault="00866AF9" w:rsidP="00866AF9">
            <w:pPr>
              <w:spacing w:after="0" w:line="240" w:lineRule="auto"/>
              <w:jc w:val="both"/>
              <w:rPr>
                <w:rFonts w:ascii="Times New Roman" w:hAnsi="Times New Roman" w:cs="Times New Roman"/>
                <w:sz w:val="22"/>
              </w:rPr>
            </w:pPr>
          </w:p>
        </w:tc>
        <w:tc>
          <w:tcPr>
            <w:tcW w:w="1701" w:type="dxa"/>
          </w:tcPr>
          <w:p w14:paraId="26C2C644" w14:textId="77777777" w:rsidR="00866AF9" w:rsidRPr="00A334A3" w:rsidRDefault="00866AF9" w:rsidP="00866AF9">
            <w:pPr>
              <w:spacing w:after="0" w:line="240" w:lineRule="auto"/>
              <w:jc w:val="both"/>
              <w:rPr>
                <w:rFonts w:ascii="Times New Roman" w:hAnsi="Times New Roman" w:cs="Times New Roman"/>
                <w:sz w:val="22"/>
              </w:rPr>
            </w:pPr>
          </w:p>
        </w:tc>
        <w:tc>
          <w:tcPr>
            <w:tcW w:w="3118" w:type="dxa"/>
          </w:tcPr>
          <w:p w14:paraId="1AD00186" w14:textId="77777777" w:rsidR="00D4594E" w:rsidRPr="00D4594E" w:rsidRDefault="00D4594E" w:rsidP="00D4594E">
            <w:pPr>
              <w:spacing w:after="0" w:line="240" w:lineRule="auto"/>
              <w:rPr>
                <w:rFonts w:ascii="Times New Roman" w:hAnsi="Times New Roman" w:cs="Times New Roman"/>
                <w:sz w:val="22"/>
              </w:rPr>
            </w:pPr>
            <w:r w:rsidRPr="00D4594E">
              <w:rPr>
                <w:rFonts w:ascii="Times New Roman" w:hAnsi="Times New Roman" w:cs="Times New Roman"/>
                <w:sz w:val="22"/>
              </w:rPr>
              <w:t xml:space="preserve">Savjetovanje „reda radi“ nema smisla, a to je pokazalo i prošlogodišnje kada niti jedna primjedba nije stvarno uzeta u obzir. Primjerice, nije prihvaćeno da se na A100001 na 329 smanji za ~104.000,00 kuna. Rebalansom je pak ipak smanjeno za 30.000,00 kuna, a iz izvršenja je vidljivo da utrošeno 32,8% pa će izvršenje na kraju biti i manje od kako je u Savjetovanju predloženo. Tako je rebalansom za Režijske troškove (372) smanjen rashod za -134.000,00, dok je u Savjetovanju predloženo smanjenje od ~167.000 kn; polugodišnje izvršenje je 44,82% pa će na kraju i to biti izvršenje kako je na Savjetovanju predloženo. Iako u rebalansu smanjeno nije, kod izvršenja se vidi da na mnogim mjestima je 3721 Naknade građanima i kućanstvima u novcu izvršenje ispod 37% pa će na kraju i to biti kako je na Savjetovanju bilo predloženo. Udrugama proizašlim iz Domovinskog rata je bilo predloženo smanjenje za 50%, a kako je sada izvršenje 26,9% moguće je da se na kraju tako i ostvari, baš kao i donacije udrugama građana gdje je izvršenje 36,9%. To je vjerojatno posljedica što se brojne manifestacije zbog COVID-a ne održavaju, no to je i pokazatelj da svi troškovi i </w:t>
            </w:r>
            <w:r w:rsidRPr="00D4594E">
              <w:rPr>
                <w:rFonts w:ascii="Times New Roman" w:hAnsi="Times New Roman" w:cs="Times New Roman"/>
                <w:sz w:val="22"/>
              </w:rPr>
              <w:lastRenderedPageBreak/>
              <w:t>nisu bili tako opravdani. Aktivnost A200001 osnovna aktivnost ustanova u kulturi je rebalansom smanjena za 10,13%, na Savjetovanju je predlagano 10% pa nije moglo…</w:t>
            </w:r>
          </w:p>
          <w:p w14:paraId="38D72A1A" w14:textId="77777777" w:rsidR="00D4594E" w:rsidRPr="00D4594E" w:rsidRDefault="00D4594E" w:rsidP="00D4594E">
            <w:pPr>
              <w:spacing w:after="0" w:line="240" w:lineRule="auto"/>
              <w:rPr>
                <w:rFonts w:ascii="Times New Roman" w:hAnsi="Times New Roman" w:cs="Times New Roman"/>
                <w:sz w:val="22"/>
              </w:rPr>
            </w:pPr>
            <w:r w:rsidRPr="00D4594E">
              <w:rPr>
                <w:rFonts w:ascii="Times New Roman" w:hAnsi="Times New Roman" w:cs="Times New Roman"/>
                <w:sz w:val="22"/>
              </w:rPr>
              <w:t>Načelo uravnoteženosti (iz čl. 7. Zakona o proračunu) ne znači da prihodi i rashodi moraju dati 0 nego da se svi rashodi moraju moći pokriti, a viškovi se mogu zadržavati. Isto tako to što se Uredbom o sastavljanju i predaji izjave o fiskalnoj odgovornosti i izvještaja o primjeni fiskalnih pravila traži donošenje akta o sukcesivnom trošenju viška s analizom nastanka to opet ne znači da viškova ne može biti. Treba raditi da rashodi budu što manji, a prihodi što veći, osim prihoda od komunalne naknade i prireza kako bi se on mogao smanjivati. Dakle, treba napraviti uštede da se komunalna naknada smanji za 20%, a prirez u potpunosti ukine i da još ostane viška. To se može postići racionalizacijom poslovanja. Prije svega digitalizacijom svih postupaka u upravi. Ušteda tu nije samo na „papiru i boji“, nego se dobije analiza radne opterećenosti i mogućnost preraspodjele poslova, kao i ukidanja nepotrebnih što može dovesti i do smanjenja izdvajanja za plaće. Naime, pojedini zaposlenici mogu krenuti raditi na EU projektima, ne mora se uvijek nove ljude zapošljavati. Posebno se to odnosi na zaposlenike gradskih ustanova. Zašto netko iz Muzeja ne bi vodio projekt Požeške bolte i sl. projekte. Na mnogim EU projektima postoje fiksna stopa koje se mogu trošiti za materijalne rashode i to postojeće (režije i sl.), a ne da se troše samo da se potroše.</w:t>
            </w:r>
          </w:p>
          <w:p w14:paraId="3176F8AB" w14:textId="77777777" w:rsidR="00D4594E" w:rsidRPr="00D4594E" w:rsidRDefault="00D4594E" w:rsidP="00D4594E">
            <w:pPr>
              <w:spacing w:after="0" w:line="240" w:lineRule="auto"/>
              <w:rPr>
                <w:rFonts w:ascii="Times New Roman" w:hAnsi="Times New Roman" w:cs="Times New Roman"/>
                <w:sz w:val="22"/>
              </w:rPr>
            </w:pPr>
            <w:r w:rsidRPr="00D4594E">
              <w:rPr>
                <w:rFonts w:ascii="Times New Roman" w:hAnsi="Times New Roman" w:cs="Times New Roman"/>
                <w:sz w:val="22"/>
              </w:rPr>
              <w:t xml:space="preserve">Ponovno se na pozicijama Ostale naknade građanima i </w:t>
            </w:r>
            <w:r w:rsidRPr="00D4594E">
              <w:rPr>
                <w:rFonts w:ascii="Times New Roman" w:hAnsi="Times New Roman" w:cs="Times New Roman"/>
                <w:sz w:val="22"/>
              </w:rPr>
              <w:lastRenderedPageBreak/>
              <w:t>kućanstvima iz proračuna nepotrebno iskazuju veliki iznosi, veći od onih što će stvarno potrošiti, a tendencija bi trebala ići da se smanjuje. Građanima treba smanjiti komunalnu naknadu kao stalni izdatak, treba u potpunosti ukinuti i prirez da bi se manjim dijelom pojeftinio i trošak rada (jer svjesni smo da taj dio neće ići za povećanje neto plaće, nego će mnogi poslodavci za taj dio smanjiti bruto plaću, što mora biti i razumljivo, ali to može dovesti do spašavanja radnih mjesta, ako se i jedno radno mjesto spasi, dovoljno je).</w:t>
            </w:r>
          </w:p>
          <w:p w14:paraId="3C2E8E10" w14:textId="77777777" w:rsidR="00D4594E" w:rsidRPr="00D4594E" w:rsidRDefault="00D4594E" w:rsidP="00D4594E">
            <w:pPr>
              <w:spacing w:after="0" w:line="240" w:lineRule="auto"/>
              <w:rPr>
                <w:rFonts w:ascii="Times New Roman" w:hAnsi="Times New Roman" w:cs="Times New Roman"/>
                <w:sz w:val="22"/>
              </w:rPr>
            </w:pPr>
            <w:r w:rsidRPr="00D4594E">
              <w:rPr>
                <w:rFonts w:ascii="Times New Roman" w:hAnsi="Times New Roman" w:cs="Times New Roman"/>
                <w:sz w:val="22"/>
              </w:rPr>
              <w:t>Proračun je prezentiran na 3 razini pa se ne može dati konkretne primjedbe gdje smanjiti rashode, ali sigurno se na „32999 Ostali nespomenuti rashodi poslovanja“ kao i na „32399 Ostale nespomenute usluge“ može uštedjeti i više od 20%. Vidljivo je to i na polugodišnjem izvršenju za 2020. godinu gdje na mnogim mjestima je izvršenje malo, čak i 0. Dakle, kao i na mnogim materijalnim rashodima trošite će se tek u prosincu samo da se potroši.</w:t>
            </w:r>
          </w:p>
          <w:p w14:paraId="610CE2C3" w14:textId="77777777" w:rsidR="00D4594E" w:rsidRPr="00D4594E" w:rsidRDefault="00D4594E" w:rsidP="00D4594E">
            <w:pPr>
              <w:spacing w:after="0" w:line="240" w:lineRule="auto"/>
              <w:rPr>
                <w:rFonts w:ascii="Times New Roman" w:hAnsi="Times New Roman" w:cs="Times New Roman"/>
                <w:sz w:val="22"/>
              </w:rPr>
            </w:pPr>
            <w:r w:rsidRPr="00D4594E">
              <w:rPr>
                <w:rFonts w:ascii="Times New Roman" w:hAnsi="Times New Roman" w:cs="Times New Roman"/>
                <w:sz w:val="22"/>
              </w:rPr>
              <w:t>Žalosti da se u proračunu za 2021. za rashode za zaposlene u JU za upravljanje sportskim objektima predviđa 1.269.500,00, dok je plan za 2020. g. bio 1.091.400,00. Očito se nema obzira prema općoj krizi koja je pred nama, a ovdje posebno koja će biti pred sportašima, posebno individualnim.</w:t>
            </w:r>
          </w:p>
          <w:p w14:paraId="466442B5" w14:textId="77777777" w:rsidR="00D4594E" w:rsidRPr="00D4594E" w:rsidRDefault="00D4594E" w:rsidP="00D4594E">
            <w:pPr>
              <w:spacing w:after="0" w:line="240" w:lineRule="auto"/>
              <w:rPr>
                <w:rFonts w:ascii="Times New Roman" w:hAnsi="Times New Roman" w:cs="Times New Roman"/>
                <w:sz w:val="22"/>
              </w:rPr>
            </w:pPr>
            <w:r w:rsidRPr="00D4594E">
              <w:rPr>
                <w:rFonts w:ascii="Times New Roman" w:hAnsi="Times New Roman" w:cs="Times New Roman"/>
                <w:sz w:val="22"/>
              </w:rPr>
              <w:t xml:space="preserve">Jedan od bivših gradonačelnika je neka sredstva mogao povući iz državnog proračuna tek za obnovu knjižnice pa je u zid do Starog grada „bačeno“ (sa ili bez navodnika) milijune kuna. Knjižnica sada lijepo izgleda, ali je (pre)skupa za održavanje. Posebno je veliki trošak 2,7 milijuna za rashode za </w:t>
            </w:r>
            <w:r w:rsidRPr="00D4594E">
              <w:rPr>
                <w:rFonts w:ascii="Times New Roman" w:hAnsi="Times New Roman" w:cs="Times New Roman"/>
                <w:sz w:val="22"/>
              </w:rPr>
              <w:lastRenderedPageBreak/>
              <w:t>zaposlene. U knjige treba ulagati, posebno u knjižnice u školama, posebno srednjim. Međutim, gradska knjižnica bi se trebala razvijati u dva pravca. Prvi je da se povećaju članarine za čitanje neznanstvenog štiva (stručna literatura bi trebala biti besplatna) i da se taj dio više komercijalizira što znači da se trebaju smanjiti i plaće zaposlenih i to na način da knjižnica radni npr. samo 8 sati dnevno (4 dopodne i 4 popodne). Da bi i dalje sve funkcioniralo mora se dodatno razvijati i u drugom pravcu, a to je digitalna transformacija. To se već i događa! Puno jeftinije je sve knjige digitalizirati i plaćati autorska prava pa da je svi građani s područja Županije se mogu logirati preko sustava E-građanin i knjige besplatno online čitati; nego izdvajati 4,2 milijuna kuna za knjižnicu. Za taj iznos se građanima moglo pokloniti više desetaka tisuća knjiga.</w:t>
            </w:r>
          </w:p>
          <w:p w14:paraId="0F5FFADD" w14:textId="77777777" w:rsidR="00D4594E" w:rsidRPr="00D4594E" w:rsidRDefault="00D4594E" w:rsidP="00D4594E">
            <w:pPr>
              <w:spacing w:after="0" w:line="240" w:lineRule="auto"/>
              <w:rPr>
                <w:rFonts w:ascii="Times New Roman" w:hAnsi="Times New Roman" w:cs="Times New Roman"/>
                <w:sz w:val="22"/>
              </w:rPr>
            </w:pPr>
            <w:r w:rsidRPr="00D4594E">
              <w:rPr>
                <w:rFonts w:ascii="Times New Roman" w:hAnsi="Times New Roman" w:cs="Times New Roman"/>
                <w:sz w:val="22"/>
              </w:rPr>
              <w:t xml:space="preserve">Kapitalni projekt K150023 ENERGETSKI EKOLOŠKI UČINKOVITA JAVNA RASVJETA težak 12,5 milijuna kuna uz kreditno zaduženje je pomalo i neozbiljno. Mnoge JLS su povukle EU sredstva za ovu namjenu i takvih sredstava bit će sigurno i u budućnosti. Fond za zaštitu okoliša i energetsku učinkovitost do sad je sufinancirao 310 projekata koji se tiču energetske učinkovitih sustava javne rasvjete! </w:t>
            </w:r>
          </w:p>
          <w:p w14:paraId="3753F06F" w14:textId="7027B358" w:rsidR="00866AF9" w:rsidRPr="00A334A3" w:rsidRDefault="00D4594E" w:rsidP="00D4594E">
            <w:pPr>
              <w:spacing w:after="0" w:line="240" w:lineRule="auto"/>
              <w:rPr>
                <w:rFonts w:ascii="Times New Roman" w:hAnsi="Times New Roman" w:cs="Times New Roman"/>
                <w:sz w:val="22"/>
              </w:rPr>
            </w:pPr>
            <w:r w:rsidRPr="00D4594E">
              <w:rPr>
                <w:rFonts w:ascii="Times New Roman" w:hAnsi="Times New Roman" w:cs="Times New Roman"/>
                <w:sz w:val="22"/>
              </w:rPr>
              <w:t>Povrat investicije zasigurno je duži od 8 godina i to samo matematički. Kad se doda održavanje koje je znatno skuplje od postojećeg onda zbog ušteda koje ćemo možda imati kroz 15 godina, ne možemo zadužiti građene pred krizu koja dolazi za dodatnih 12 milijuna kuna kao da već nismo za 30-ak milijuna zaduženi.</w:t>
            </w:r>
          </w:p>
        </w:tc>
        <w:tc>
          <w:tcPr>
            <w:tcW w:w="2716" w:type="dxa"/>
          </w:tcPr>
          <w:p w14:paraId="2A3B9BAE" w14:textId="3C343EB7" w:rsidR="00866AF9" w:rsidRPr="00503978" w:rsidRDefault="00866AF9" w:rsidP="00866AF9">
            <w:pPr>
              <w:spacing w:after="0" w:line="240" w:lineRule="auto"/>
              <w:rPr>
                <w:rFonts w:ascii="Times New Roman" w:hAnsi="Times New Roman" w:cs="Times New Roman"/>
                <w:bCs/>
                <w:sz w:val="22"/>
              </w:rPr>
            </w:pPr>
            <w:r w:rsidRPr="00503978">
              <w:rPr>
                <w:rFonts w:ascii="Times New Roman" w:hAnsi="Times New Roman" w:cs="Times New Roman"/>
                <w:bCs/>
                <w:sz w:val="22"/>
              </w:rPr>
              <w:lastRenderedPageBreak/>
              <w:t>PRIJEDLOG SE NE PRIHVAĆA</w:t>
            </w:r>
          </w:p>
          <w:p w14:paraId="3B56D696" w14:textId="0D7305BF" w:rsidR="00D4594E" w:rsidRPr="00503978" w:rsidRDefault="00D4594E" w:rsidP="00866AF9">
            <w:pPr>
              <w:spacing w:after="0" w:line="240" w:lineRule="auto"/>
              <w:rPr>
                <w:rFonts w:ascii="Times New Roman" w:hAnsi="Times New Roman" w:cs="Times New Roman"/>
                <w:bCs/>
                <w:sz w:val="22"/>
              </w:rPr>
            </w:pPr>
          </w:p>
          <w:p w14:paraId="38537D37" w14:textId="77777777" w:rsidR="00866AF9" w:rsidRPr="00503978" w:rsidRDefault="00866AF9" w:rsidP="00866AF9">
            <w:pPr>
              <w:spacing w:after="0" w:line="240" w:lineRule="auto"/>
              <w:rPr>
                <w:rFonts w:ascii="Times New Roman" w:hAnsi="Times New Roman" w:cs="Times New Roman"/>
                <w:sz w:val="22"/>
              </w:rPr>
            </w:pPr>
          </w:p>
          <w:p w14:paraId="3CA99476" w14:textId="77777777" w:rsidR="00D4594E" w:rsidRPr="00503978" w:rsidRDefault="00D4594E" w:rsidP="00866AF9">
            <w:pPr>
              <w:spacing w:after="0" w:line="240" w:lineRule="auto"/>
              <w:rPr>
                <w:rFonts w:ascii="Times New Roman" w:hAnsi="Times New Roman" w:cs="Times New Roman"/>
                <w:sz w:val="22"/>
              </w:rPr>
            </w:pPr>
            <w:r w:rsidRPr="00503978">
              <w:rPr>
                <w:rFonts w:ascii="Times New Roman" w:hAnsi="Times New Roman" w:cs="Times New Roman"/>
                <w:sz w:val="22"/>
              </w:rPr>
              <w:t xml:space="preserve">Podnositelj prijedloga je u </w:t>
            </w:r>
            <w:r w:rsidR="006F4205" w:rsidRPr="00503978">
              <w:rPr>
                <w:rFonts w:ascii="Times New Roman" w:hAnsi="Times New Roman" w:cs="Times New Roman"/>
                <w:sz w:val="22"/>
              </w:rPr>
              <w:t>dostavljenom Obrascu sudjelovanja u Savjetovanju  s javnošću u postupku donošenja Proračuna Grada Požege za razdoblje 2021.-2023. godine u najvećem dijelu iznio komentar i svoje nezadovoljstvo što mu niti jedna primjedba u prošlogodišnjem savjetovanju nije uzeta u obzir. Na isto se u postupku savjetovanja dalo obrazloženje, kao što se u nastavku ovog izvješća daje obrazloženje na navode predlagatelja.</w:t>
            </w:r>
          </w:p>
          <w:p w14:paraId="3A8B47F0" w14:textId="77777777" w:rsidR="006F4205" w:rsidRPr="00503978" w:rsidRDefault="006F4205" w:rsidP="00866AF9">
            <w:pPr>
              <w:spacing w:after="0" w:line="240" w:lineRule="auto"/>
              <w:rPr>
                <w:rFonts w:ascii="Times New Roman" w:hAnsi="Times New Roman" w:cs="Times New Roman"/>
                <w:sz w:val="22"/>
              </w:rPr>
            </w:pPr>
          </w:p>
          <w:p w14:paraId="2DC74C0C" w14:textId="77777777" w:rsidR="00482B6B" w:rsidRPr="00503978" w:rsidRDefault="006F4205" w:rsidP="00866AF9">
            <w:pPr>
              <w:spacing w:after="0" w:line="240" w:lineRule="auto"/>
              <w:rPr>
                <w:rFonts w:ascii="Times New Roman" w:hAnsi="Times New Roman" w:cs="Times New Roman"/>
                <w:sz w:val="22"/>
              </w:rPr>
            </w:pPr>
            <w:r w:rsidRPr="00503978">
              <w:rPr>
                <w:rFonts w:ascii="Times New Roman" w:hAnsi="Times New Roman" w:cs="Times New Roman"/>
                <w:sz w:val="22"/>
              </w:rPr>
              <w:t xml:space="preserve">Prema donesenom Planu savjetovanja s javnošću za 2020. godinu, koji je donio Gradonačelnik Grada Požege, savjetovanje u svezi prijedloga Proračuna Grada Požege za predstojeće trogodišnje razdoblje je pravovremeno objavljeno i dano javnosti na davanje prijedloga i mišljenja, te obrazloženja koji su provedivi, tako da se ne može prihvatiti teza da se radi o savjetovanju „reda radi“. </w:t>
            </w:r>
          </w:p>
          <w:p w14:paraId="604062A2" w14:textId="77777777" w:rsidR="00482B6B" w:rsidRPr="00503978" w:rsidRDefault="00482B6B" w:rsidP="00866AF9">
            <w:pPr>
              <w:spacing w:after="0" w:line="240" w:lineRule="auto"/>
              <w:rPr>
                <w:rFonts w:ascii="Times New Roman" w:hAnsi="Times New Roman" w:cs="Times New Roman"/>
                <w:sz w:val="22"/>
              </w:rPr>
            </w:pPr>
          </w:p>
          <w:p w14:paraId="103FE508" w14:textId="2114DC8F" w:rsidR="006F4205" w:rsidRPr="00503978" w:rsidRDefault="006F4205" w:rsidP="00866AF9">
            <w:pPr>
              <w:spacing w:after="0" w:line="240" w:lineRule="auto"/>
              <w:rPr>
                <w:rFonts w:ascii="Times New Roman" w:hAnsi="Times New Roman" w:cs="Times New Roman"/>
                <w:sz w:val="22"/>
              </w:rPr>
            </w:pPr>
            <w:r w:rsidRPr="00503978">
              <w:rPr>
                <w:rFonts w:ascii="Times New Roman" w:hAnsi="Times New Roman" w:cs="Times New Roman"/>
                <w:sz w:val="22"/>
              </w:rPr>
              <w:lastRenderedPageBreak/>
              <w:t>Kao što je predlagatelj naveo, na izvršenje pojedinih stavki je kroz ovu godinu utjecao COVID 19, što nije bilo moguće predvidjeti kad se donosio proračun za razdoblje 2020.-2022. godine.</w:t>
            </w:r>
          </w:p>
          <w:p w14:paraId="385E2F85" w14:textId="77777777" w:rsidR="00482B6B" w:rsidRPr="00503978" w:rsidRDefault="00482B6B" w:rsidP="00866AF9">
            <w:pPr>
              <w:spacing w:after="0" w:line="240" w:lineRule="auto"/>
              <w:rPr>
                <w:rFonts w:ascii="Times New Roman" w:hAnsi="Times New Roman" w:cs="Times New Roman"/>
                <w:sz w:val="22"/>
              </w:rPr>
            </w:pPr>
          </w:p>
          <w:p w14:paraId="481C725A" w14:textId="1051C56E" w:rsidR="006F4205" w:rsidRPr="00503978" w:rsidRDefault="008737DE" w:rsidP="00866AF9">
            <w:pPr>
              <w:spacing w:after="0" w:line="240" w:lineRule="auto"/>
              <w:rPr>
                <w:rFonts w:ascii="Times New Roman" w:hAnsi="Times New Roman" w:cs="Times New Roman"/>
                <w:sz w:val="22"/>
              </w:rPr>
            </w:pPr>
            <w:r w:rsidRPr="00503978">
              <w:rPr>
                <w:rFonts w:ascii="Times New Roman" w:hAnsi="Times New Roman" w:cs="Times New Roman"/>
                <w:sz w:val="22"/>
              </w:rPr>
              <w:t>Temeljni okvir za donošenje Proračuna su propisani zakonski i podzakonski akti, te upute Ministarstva financija koje upućuju da se proračun donosi na razini podskupine računa (treća razina računskog plana), a projekcije na razini skupine (druga razina računskog plana). Uvažavajući navedene odrednice, procjenu ostvarenja prihoda i rashoda u ovoj godini, procjene o očekivanim budućim prihodima i rashodima na temelju raspoloživih informacija, te projektima koji su u pripremi i započeti, sastavlja se prijedlog Proračuna Grada Požege za predstojeće razdoblje.</w:t>
            </w:r>
          </w:p>
          <w:p w14:paraId="2C0FC4B6" w14:textId="77777777" w:rsidR="00482B6B" w:rsidRPr="00503978" w:rsidRDefault="00482B6B" w:rsidP="00866AF9">
            <w:pPr>
              <w:spacing w:after="0" w:line="240" w:lineRule="auto"/>
              <w:rPr>
                <w:rFonts w:ascii="Times New Roman" w:hAnsi="Times New Roman" w:cs="Times New Roman"/>
                <w:sz w:val="22"/>
              </w:rPr>
            </w:pPr>
          </w:p>
          <w:p w14:paraId="6A992E44" w14:textId="6D5F3D72" w:rsidR="00503978" w:rsidRDefault="00503978" w:rsidP="00DE77C3">
            <w:pPr>
              <w:spacing w:after="0" w:line="240" w:lineRule="auto"/>
              <w:rPr>
                <w:rFonts w:ascii="Times New Roman" w:hAnsi="Times New Roman" w:cs="Times New Roman"/>
                <w:sz w:val="22"/>
              </w:rPr>
            </w:pPr>
            <w:r>
              <w:rPr>
                <w:rFonts w:ascii="Times New Roman" w:hAnsi="Times New Roman" w:cs="Times New Roman"/>
                <w:sz w:val="22"/>
              </w:rPr>
              <w:t>Što se tiče prijedloga za smanjivanjem komunalne naknade i prireza, napominjemo da je prirez sredinom 2020. godine smanjen sa 10 na 7 posto.</w:t>
            </w:r>
          </w:p>
          <w:p w14:paraId="496B8D22" w14:textId="47F05928" w:rsidR="008737DE" w:rsidRPr="00503978" w:rsidRDefault="008737DE" w:rsidP="00DE77C3">
            <w:pPr>
              <w:spacing w:after="0" w:line="240" w:lineRule="auto"/>
              <w:rPr>
                <w:rFonts w:ascii="Times New Roman" w:hAnsi="Times New Roman" w:cs="Times New Roman"/>
                <w:sz w:val="22"/>
              </w:rPr>
            </w:pPr>
            <w:r w:rsidRPr="00503978">
              <w:rPr>
                <w:rFonts w:ascii="Times New Roman" w:hAnsi="Times New Roman" w:cs="Times New Roman"/>
                <w:sz w:val="22"/>
              </w:rPr>
              <w:t xml:space="preserve">Komunalnu naknadu  nije moguće smanjiti ako se želi zadržati nivo </w:t>
            </w:r>
            <w:r w:rsidR="00DE77C3" w:rsidRPr="00503978">
              <w:rPr>
                <w:rFonts w:ascii="Times New Roman" w:hAnsi="Times New Roman" w:cs="Times New Roman"/>
                <w:sz w:val="22"/>
              </w:rPr>
              <w:t>održavanja gradske infrastrukture i objekata</w:t>
            </w:r>
            <w:r w:rsidR="00482B6B" w:rsidRPr="00503978">
              <w:rPr>
                <w:rFonts w:ascii="Times New Roman" w:hAnsi="Times New Roman" w:cs="Times New Roman"/>
                <w:sz w:val="22"/>
              </w:rPr>
              <w:t xml:space="preserve"> i drugih investicija</w:t>
            </w:r>
            <w:r w:rsidR="00DE77C3" w:rsidRPr="00503978">
              <w:rPr>
                <w:rFonts w:ascii="Times New Roman" w:hAnsi="Times New Roman" w:cs="Times New Roman"/>
                <w:sz w:val="22"/>
              </w:rPr>
              <w:t>.</w:t>
            </w:r>
            <w:r w:rsidRPr="00503978">
              <w:rPr>
                <w:rFonts w:ascii="Times New Roman" w:hAnsi="Times New Roman" w:cs="Times New Roman"/>
                <w:sz w:val="22"/>
              </w:rPr>
              <w:t xml:space="preserve"> Komunalna naknada je namjenski prihod, koji se naplaćuje i koristi</w:t>
            </w:r>
            <w:r w:rsidR="00DE77C3" w:rsidRPr="00503978">
              <w:rPr>
                <w:rFonts w:ascii="Times New Roman" w:hAnsi="Times New Roman" w:cs="Times New Roman"/>
                <w:sz w:val="22"/>
              </w:rPr>
              <w:t xml:space="preserve"> za financiranje radova i održavanja komunalne infrastrukture i objekata navedenih u</w:t>
            </w:r>
            <w:r w:rsidRPr="00503978">
              <w:rPr>
                <w:rFonts w:ascii="Times New Roman" w:hAnsi="Times New Roman" w:cs="Times New Roman"/>
                <w:sz w:val="22"/>
              </w:rPr>
              <w:t xml:space="preserve"> Zakonu o komunalnom gospodarstvu</w:t>
            </w:r>
            <w:r w:rsidR="00DE77C3" w:rsidRPr="00503978">
              <w:rPr>
                <w:rFonts w:ascii="Times New Roman" w:hAnsi="Times New Roman" w:cs="Times New Roman"/>
                <w:sz w:val="22"/>
              </w:rPr>
              <w:t>.</w:t>
            </w:r>
            <w:r w:rsidR="00503978">
              <w:rPr>
                <w:rFonts w:ascii="Times New Roman" w:hAnsi="Times New Roman" w:cs="Times New Roman"/>
                <w:sz w:val="22"/>
              </w:rPr>
              <w:t xml:space="preserve"> </w:t>
            </w:r>
          </w:p>
          <w:p w14:paraId="62BCFB39" w14:textId="1C64240B" w:rsidR="00482B6B" w:rsidRPr="00503978" w:rsidRDefault="00482B6B" w:rsidP="00DE77C3">
            <w:pPr>
              <w:spacing w:after="0" w:line="240" w:lineRule="auto"/>
              <w:rPr>
                <w:rFonts w:ascii="Times New Roman" w:hAnsi="Times New Roman" w:cs="Times New Roman"/>
                <w:sz w:val="22"/>
              </w:rPr>
            </w:pPr>
            <w:r w:rsidRPr="00503978">
              <w:rPr>
                <w:rFonts w:ascii="Times New Roman" w:hAnsi="Times New Roman" w:cs="Times New Roman"/>
                <w:sz w:val="22"/>
              </w:rPr>
              <w:lastRenderedPageBreak/>
              <w:t>Što se tiče postupka digitalizacije, Grad Požega radi na više projekata radi što veće digitalizacije kako bi se postigle uštede i brzina u svakodnevnom radu sa građanima.</w:t>
            </w:r>
          </w:p>
          <w:p w14:paraId="6082E894" w14:textId="77777777" w:rsidR="00482B6B" w:rsidRPr="00503978" w:rsidRDefault="00482B6B" w:rsidP="00DE77C3">
            <w:pPr>
              <w:spacing w:after="0" w:line="240" w:lineRule="auto"/>
              <w:rPr>
                <w:rFonts w:ascii="Times New Roman" w:hAnsi="Times New Roman" w:cs="Times New Roman"/>
                <w:sz w:val="22"/>
              </w:rPr>
            </w:pPr>
          </w:p>
          <w:p w14:paraId="2F732DE9" w14:textId="77777777" w:rsidR="00DE77C3" w:rsidRPr="00503978" w:rsidRDefault="00DE77C3" w:rsidP="00DE77C3">
            <w:pPr>
              <w:spacing w:after="0" w:line="240" w:lineRule="auto"/>
              <w:rPr>
                <w:rFonts w:ascii="Times New Roman" w:hAnsi="Times New Roman" w:cs="Times New Roman"/>
                <w:sz w:val="22"/>
              </w:rPr>
            </w:pPr>
            <w:r w:rsidRPr="00503978">
              <w:rPr>
                <w:rFonts w:ascii="Times New Roman" w:hAnsi="Times New Roman" w:cs="Times New Roman"/>
                <w:sz w:val="22"/>
              </w:rPr>
              <w:t>Projekt Rekonstrukcija Gradske knjižnice i čitaonice dovršen je ove godine prema projektu iz 2006. godine i stvoreni su uvjeti za stvaranje kulturnog nukleusa Grada Požege. Funkcija novostvorenog prostora neće biti samo izdavanje knjiga, već brojna kulturna i ostala događanja primjerena zgradi. Tek otvorenjem i prezentacijom objekta bit će moguće sagledati sve stvorene mogućnosti, što zbog COVID-a 19 još nije moguće realizirati.</w:t>
            </w:r>
          </w:p>
          <w:p w14:paraId="6E1F3C64" w14:textId="77777777" w:rsidR="00482B6B" w:rsidRPr="00503978" w:rsidRDefault="00482B6B" w:rsidP="00DE77C3">
            <w:pPr>
              <w:spacing w:after="0" w:line="240" w:lineRule="auto"/>
              <w:rPr>
                <w:rFonts w:ascii="Times New Roman" w:hAnsi="Times New Roman" w:cs="Times New Roman"/>
                <w:sz w:val="22"/>
              </w:rPr>
            </w:pPr>
          </w:p>
          <w:p w14:paraId="50E17BD0" w14:textId="1870B280" w:rsidR="00482B6B" w:rsidRPr="00503978" w:rsidRDefault="00482B6B" w:rsidP="00DE77C3">
            <w:pPr>
              <w:spacing w:after="0" w:line="240" w:lineRule="auto"/>
              <w:rPr>
                <w:rFonts w:ascii="Times New Roman" w:hAnsi="Times New Roman" w:cs="Times New Roman"/>
                <w:sz w:val="22"/>
              </w:rPr>
            </w:pPr>
            <w:r w:rsidRPr="00503978">
              <w:rPr>
                <w:rFonts w:ascii="Times New Roman" w:hAnsi="Times New Roman" w:cs="Times New Roman"/>
                <w:sz w:val="22"/>
              </w:rPr>
              <w:t>Projekt rekonstrukcije javne rasvjete do sada nije realiziran iz sredstava pomoći iako je bio planiran već dugi niz godina zbog niza čimbenika koji su onemogućavali realizaciju istog. Trenutno nema natječaja niti u objavi niti u najavi, stoga se program HBOR-a s izuzetno niskom kamatom za Grad Požegu čini kao prihvatljivo rješenje.</w:t>
            </w:r>
            <w:r w:rsidR="00DA65EB" w:rsidRPr="00503978">
              <w:rPr>
                <w:rFonts w:ascii="Times New Roman" w:hAnsi="Times New Roman" w:cs="Times New Roman"/>
                <w:sz w:val="22"/>
              </w:rPr>
              <w:t xml:space="preserve"> Rekonstrukcija </w:t>
            </w:r>
            <w:r w:rsidR="00D43F6F" w:rsidRPr="00503978">
              <w:rPr>
                <w:rFonts w:ascii="Times New Roman" w:hAnsi="Times New Roman" w:cs="Times New Roman"/>
                <w:sz w:val="22"/>
              </w:rPr>
              <w:t xml:space="preserve">sustava javne rasvjete postaje nužna zbog znatnog povećanja troškova potrošnje  električne energije u Gradu Požegi, a i zbog povećanja broja rasvjetnih tijela. Izrađeni proračuni u projektu Rekonstrukcija javne rasvjete u Gradu Požegi pokazuju da bi projektirano rješenje omogućilo znatnu uštedu i upravo iz sredstava uštede moguće je financirati </w:t>
            </w:r>
            <w:r w:rsidR="00D43F6F" w:rsidRPr="00503978">
              <w:rPr>
                <w:rFonts w:ascii="Times New Roman" w:hAnsi="Times New Roman" w:cs="Times New Roman"/>
                <w:sz w:val="22"/>
              </w:rPr>
              <w:lastRenderedPageBreak/>
              <w:t>obveze po kreditnom zaduženju, te ne bi bilo potrebno osigurati dodatna sredstva u Proračunu Grada Požege.</w:t>
            </w:r>
          </w:p>
        </w:tc>
      </w:tr>
      <w:tr w:rsidR="00503978" w:rsidRPr="00503978" w14:paraId="10D75B95" w14:textId="77777777" w:rsidTr="00D43F6F">
        <w:trPr>
          <w:trHeight w:val="4815"/>
          <w:jc w:val="center"/>
        </w:trPr>
        <w:tc>
          <w:tcPr>
            <w:tcW w:w="686" w:type="dxa"/>
          </w:tcPr>
          <w:p w14:paraId="547A4EDA" w14:textId="08175AF7" w:rsidR="00D43F6F" w:rsidRPr="00A334A3" w:rsidRDefault="00D43F6F" w:rsidP="00866AF9">
            <w:pPr>
              <w:spacing w:after="0" w:line="240" w:lineRule="auto"/>
              <w:jc w:val="both"/>
              <w:rPr>
                <w:rFonts w:ascii="Times New Roman" w:hAnsi="Times New Roman" w:cs="Times New Roman"/>
                <w:sz w:val="22"/>
              </w:rPr>
            </w:pPr>
            <w:r>
              <w:rPr>
                <w:rFonts w:ascii="Times New Roman" w:hAnsi="Times New Roman" w:cs="Times New Roman"/>
                <w:sz w:val="22"/>
              </w:rPr>
              <w:lastRenderedPageBreak/>
              <w:t>2.</w:t>
            </w:r>
          </w:p>
        </w:tc>
        <w:tc>
          <w:tcPr>
            <w:tcW w:w="1418" w:type="dxa"/>
          </w:tcPr>
          <w:p w14:paraId="732FF076" w14:textId="317BCD76" w:rsidR="00D43F6F" w:rsidRPr="00A334A3" w:rsidRDefault="00D43F6F" w:rsidP="00866AF9">
            <w:pPr>
              <w:spacing w:after="0" w:line="240" w:lineRule="auto"/>
              <w:jc w:val="both"/>
              <w:rPr>
                <w:rFonts w:ascii="Times New Roman" w:hAnsi="Times New Roman" w:cs="Times New Roman"/>
                <w:sz w:val="22"/>
              </w:rPr>
            </w:pPr>
            <w:r>
              <w:rPr>
                <w:rFonts w:ascii="Times New Roman" w:hAnsi="Times New Roman" w:cs="Times New Roman"/>
                <w:sz w:val="22"/>
              </w:rPr>
              <w:t>MIRO RAŠIĆ</w:t>
            </w:r>
          </w:p>
        </w:tc>
        <w:tc>
          <w:tcPr>
            <w:tcW w:w="1701" w:type="dxa"/>
          </w:tcPr>
          <w:p w14:paraId="1128D4F5" w14:textId="7255BB42" w:rsidR="00D43F6F" w:rsidRPr="00A334A3" w:rsidRDefault="00D43F6F" w:rsidP="00866AF9">
            <w:pPr>
              <w:spacing w:after="0" w:line="240" w:lineRule="auto"/>
              <w:jc w:val="both"/>
              <w:rPr>
                <w:rFonts w:ascii="Times New Roman" w:hAnsi="Times New Roman" w:cs="Times New Roman"/>
                <w:sz w:val="22"/>
              </w:rPr>
            </w:pPr>
            <w:r w:rsidRPr="00D43F6F">
              <w:rPr>
                <w:rFonts w:ascii="Times New Roman" w:hAnsi="Times New Roman" w:cs="Times New Roman"/>
                <w:sz w:val="22"/>
              </w:rPr>
              <w:t>SIGURNOST MJEŠTANA (pješaka i biciklista) U DIJELU GRADA, KVALITETA ŽIVOTA ZA NEKOLIKO STOTINA SUGRAĐANA, korisnika</w:t>
            </w:r>
          </w:p>
        </w:tc>
        <w:tc>
          <w:tcPr>
            <w:tcW w:w="3118" w:type="dxa"/>
          </w:tcPr>
          <w:p w14:paraId="61E34D0E" w14:textId="77777777" w:rsidR="00D43F6F" w:rsidRPr="00D43F6F" w:rsidRDefault="00D43F6F" w:rsidP="00D43F6F">
            <w:pPr>
              <w:spacing w:after="0" w:line="240" w:lineRule="auto"/>
              <w:rPr>
                <w:rFonts w:ascii="Times New Roman" w:hAnsi="Times New Roman" w:cs="Times New Roman"/>
                <w:sz w:val="22"/>
              </w:rPr>
            </w:pPr>
            <w:r w:rsidRPr="00D43F6F">
              <w:rPr>
                <w:rFonts w:ascii="Times New Roman" w:hAnsi="Times New Roman" w:cs="Times New Roman"/>
                <w:sz w:val="22"/>
              </w:rPr>
              <w:t>PROGRAM 1500 KAPITALNA ULAGANJA U KOMUNALNU INFRASTRUKTURU</w:t>
            </w:r>
          </w:p>
          <w:p w14:paraId="680FF19E" w14:textId="77777777" w:rsidR="00D43F6F" w:rsidRPr="00D43F6F" w:rsidRDefault="00D43F6F" w:rsidP="00D43F6F">
            <w:pPr>
              <w:spacing w:after="0" w:line="240" w:lineRule="auto"/>
              <w:rPr>
                <w:rFonts w:ascii="Times New Roman" w:hAnsi="Times New Roman" w:cs="Times New Roman"/>
                <w:sz w:val="22"/>
              </w:rPr>
            </w:pPr>
          </w:p>
          <w:p w14:paraId="46B52AF1" w14:textId="77777777" w:rsidR="00D43F6F" w:rsidRPr="00D43F6F" w:rsidRDefault="00D43F6F" w:rsidP="00D43F6F">
            <w:pPr>
              <w:spacing w:after="0" w:line="240" w:lineRule="auto"/>
              <w:rPr>
                <w:rFonts w:ascii="Times New Roman" w:hAnsi="Times New Roman" w:cs="Times New Roman"/>
                <w:sz w:val="22"/>
              </w:rPr>
            </w:pPr>
            <w:r w:rsidRPr="00D43F6F">
              <w:rPr>
                <w:rFonts w:ascii="Times New Roman" w:hAnsi="Times New Roman" w:cs="Times New Roman"/>
                <w:sz w:val="22"/>
              </w:rPr>
              <w:t>Obzirom da se u Nacrtu projekcija proračuna 2021.- 2023.g. koji je objavljen kao prilog javnom pozivu ne vidi točan detaljni plan investicija i kapitalnih ulaganja po segmentima grada (ulicama, naseljima), te ako nije već predviđeno PREDLAŽEM i molim za intervenciju u ovom dijelu proračuna da se iznađe sredstva za rekonstrukciju pješačke staze u Zagrebačkoj ulici, od ul. Sv. Josipa do ulice Janka Matka pa čak i do Drškovaca, iako je dio do ul. Janka Matka prioritetniji i definitivno uništen,derutan i nepristupačan za hodanje posebice starijih osoba a potom i za mlade obitelji s djecom u kolicima. Najveći problem je tijekom kišovitih i zimskih razdoblja kada je gotovo nemoguće hodati bez velikog rizika od proklizavanja.</w:t>
            </w:r>
          </w:p>
          <w:p w14:paraId="2F3D32A6" w14:textId="77777777" w:rsidR="00D43F6F" w:rsidRPr="00D43F6F" w:rsidRDefault="00D43F6F" w:rsidP="00D43F6F">
            <w:pPr>
              <w:spacing w:after="0" w:line="240" w:lineRule="auto"/>
              <w:rPr>
                <w:rFonts w:ascii="Times New Roman" w:hAnsi="Times New Roman" w:cs="Times New Roman"/>
                <w:sz w:val="22"/>
              </w:rPr>
            </w:pPr>
            <w:r w:rsidRPr="00D43F6F">
              <w:rPr>
                <w:rFonts w:ascii="Times New Roman" w:hAnsi="Times New Roman" w:cs="Times New Roman"/>
                <w:sz w:val="22"/>
              </w:rPr>
              <w:t>Naime, bilo bi učinkovitije ako bi staza sadržavala prostor i za pješake i za bicikliste jer prostora ima dovoljno od ceste do nogostupa, kao i za nastavak sadnje drvoreda skroz do Drškovaca.</w:t>
            </w:r>
          </w:p>
          <w:p w14:paraId="59CCCEA3" w14:textId="77777777" w:rsidR="00D43F6F" w:rsidRPr="00D43F6F" w:rsidRDefault="00D43F6F" w:rsidP="00D43F6F">
            <w:pPr>
              <w:spacing w:after="0" w:line="240" w:lineRule="auto"/>
              <w:rPr>
                <w:rFonts w:ascii="Times New Roman" w:hAnsi="Times New Roman" w:cs="Times New Roman"/>
                <w:sz w:val="22"/>
              </w:rPr>
            </w:pPr>
            <w:r w:rsidRPr="00D43F6F">
              <w:rPr>
                <w:rFonts w:ascii="Times New Roman" w:hAnsi="Times New Roman" w:cs="Times New Roman"/>
                <w:sz w:val="22"/>
              </w:rPr>
              <w:t>Smatram da ulaz u naš grad treba biti na višoj razini uređenosti pa stoga bi valjalo razmisliti i o nekom sadržaju na ledini između Cerničke i Zagrebačke ulice nasuprot ugostiteljskog objekta „TINA“. Predlažem raspisivanje natječaja za dostavu idejnih rješenja te lokacije kako bi se kvalitetno popunio taj dio, bilo da se radi o nekakvoj fontani ili spomeniku povijesnih ličnosti našega kraja.</w:t>
            </w:r>
          </w:p>
          <w:p w14:paraId="2120363B" w14:textId="77777777" w:rsidR="00D43F6F" w:rsidRPr="00D43F6F" w:rsidRDefault="00D43F6F" w:rsidP="00D43F6F">
            <w:pPr>
              <w:spacing w:after="0" w:line="240" w:lineRule="auto"/>
              <w:rPr>
                <w:rFonts w:ascii="Times New Roman" w:hAnsi="Times New Roman" w:cs="Times New Roman"/>
                <w:sz w:val="22"/>
              </w:rPr>
            </w:pPr>
          </w:p>
          <w:p w14:paraId="667E78AB" w14:textId="2979F225" w:rsidR="00D43F6F" w:rsidRPr="00A334A3" w:rsidRDefault="00D43F6F" w:rsidP="00D43F6F">
            <w:pPr>
              <w:spacing w:after="0" w:line="240" w:lineRule="auto"/>
              <w:rPr>
                <w:rFonts w:ascii="Times New Roman" w:hAnsi="Times New Roman" w:cs="Times New Roman"/>
                <w:sz w:val="22"/>
              </w:rPr>
            </w:pPr>
            <w:r w:rsidRPr="00D43F6F">
              <w:rPr>
                <w:rFonts w:ascii="Times New Roman" w:hAnsi="Times New Roman" w:cs="Times New Roman"/>
                <w:sz w:val="22"/>
              </w:rPr>
              <w:tab/>
            </w:r>
            <w:r w:rsidRPr="00D43F6F">
              <w:rPr>
                <w:rFonts w:ascii="Times New Roman" w:hAnsi="Times New Roman" w:cs="Times New Roman"/>
                <w:sz w:val="22"/>
              </w:rPr>
              <w:tab/>
            </w:r>
          </w:p>
        </w:tc>
        <w:tc>
          <w:tcPr>
            <w:tcW w:w="2716" w:type="dxa"/>
          </w:tcPr>
          <w:p w14:paraId="2605EE54" w14:textId="77777777" w:rsidR="00D43F6F" w:rsidRPr="00503978" w:rsidRDefault="00D43F6F" w:rsidP="00866AF9">
            <w:pPr>
              <w:rPr>
                <w:rFonts w:ascii="Times New Roman" w:hAnsi="Times New Roman" w:cs="Times New Roman"/>
                <w:sz w:val="21"/>
                <w:szCs w:val="21"/>
              </w:rPr>
            </w:pPr>
            <w:r w:rsidRPr="00503978">
              <w:rPr>
                <w:rFonts w:ascii="Times New Roman" w:hAnsi="Times New Roman" w:cs="Times New Roman"/>
                <w:sz w:val="21"/>
                <w:szCs w:val="21"/>
              </w:rPr>
              <w:t>PRIJEDLOG SE DJELOMIČNO PRIHVAĆA</w:t>
            </w:r>
          </w:p>
          <w:p w14:paraId="029059B3" w14:textId="217AA29F" w:rsidR="00D43F6F" w:rsidRPr="00503978" w:rsidRDefault="00300A87" w:rsidP="00866AF9">
            <w:pPr>
              <w:rPr>
                <w:rFonts w:ascii="Times New Roman" w:hAnsi="Times New Roman" w:cs="Times New Roman"/>
                <w:sz w:val="21"/>
                <w:szCs w:val="21"/>
              </w:rPr>
            </w:pPr>
            <w:r w:rsidRPr="00503978">
              <w:rPr>
                <w:rFonts w:ascii="Times New Roman" w:hAnsi="Times New Roman" w:cs="Times New Roman"/>
                <w:sz w:val="21"/>
                <w:szCs w:val="21"/>
              </w:rPr>
              <w:t xml:space="preserve">Za pripremu  izgradnje pješačko biciklističke staze u Zagrebačkoj ulici potrebno je pristupiti izradi projektne dokumentacije što je predviđeno planom </w:t>
            </w:r>
            <w:r w:rsidR="00904BF2" w:rsidRPr="00503978">
              <w:rPr>
                <w:rFonts w:ascii="Times New Roman" w:hAnsi="Times New Roman" w:cs="Times New Roman"/>
                <w:sz w:val="21"/>
                <w:szCs w:val="21"/>
              </w:rPr>
              <w:t xml:space="preserve">i programom </w:t>
            </w:r>
            <w:r w:rsidRPr="00503978">
              <w:rPr>
                <w:rFonts w:ascii="Times New Roman" w:hAnsi="Times New Roman" w:cs="Times New Roman"/>
                <w:sz w:val="21"/>
                <w:szCs w:val="21"/>
              </w:rPr>
              <w:t>rada Upravnog odjela za komunalne djelatnosti i gospodarenje. Sadnju drvoreda racionalno je planirati tek nakon dovršetka građevinskih radova.</w:t>
            </w:r>
          </w:p>
          <w:p w14:paraId="29B8894A" w14:textId="2777A204" w:rsidR="00300A87" w:rsidRPr="00503978" w:rsidRDefault="00300A87" w:rsidP="00866AF9">
            <w:pPr>
              <w:rPr>
                <w:rFonts w:ascii="Times New Roman" w:hAnsi="Times New Roman" w:cs="Times New Roman"/>
                <w:sz w:val="21"/>
                <w:szCs w:val="21"/>
              </w:rPr>
            </w:pPr>
          </w:p>
          <w:p w14:paraId="338F4DE5" w14:textId="697EB226" w:rsidR="00300A87" w:rsidRPr="00503978" w:rsidRDefault="00300A87" w:rsidP="00866AF9">
            <w:pPr>
              <w:rPr>
                <w:rFonts w:ascii="Times New Roman" w:hAnsi="Times New Roman" w:cs="Times New Roman"/>
                <w:sz w:val="21"/>
                <w:szCs w:val="21"/>
              </w:rPr>
            </w:pPr>
            <w:r w:rsidRPr="00503978">
              <w:rPr>
                <w:rFonts w:ascii="Times New Roman" w:hAnsi="Times New Roman" w:cs="Times New Roman"/>
                <w:sz w:val="21"/>
                <w:szCs w:val="21"/>
              </w:rPr>
              <w:t>Površina na kojoj predlažete izgradnju javnih sadržaja nije u vlasništvu Grada Požege, već poduzeća Akis d.o.o iz Zagreba, stoga nije moguće u planirati predložene aktivnosti na taj način.</w:t>
            </w:r>
          </w:p>
          <w:p w14:paraId="0A90C626" w14:textId="77777777" w:rsidR="00300A87" w:rsidRPr="00503978" w:rsidRDefault="00300A87" w:rsidP="00866AF9">
            <w:pPr>
              <w:rPr>
                <w:rFonts w:ascii="Times New Roman" w:hAnsi="Times New Roman" w:cs="Times New Roman"/>
                <w:sz w:val="21"/>
                <w:szCs w:val="21"/>
              </w:rPr>
            </w:pPr>
          </w:p>
          <w:p w14:paraId="1CE824C5" w14:textId="4C94C682" w:rsidR="00D43F6F" w:rsidRPr="00503978" w:rsidRDefault="00D43F6F" w:rsidP="00866AF9">
            <w:pPr>
              <w:rPr>
                <w:rFonts w:ascii="Times New Roman" w:hAnsi="Times New Roman" w:cs="Times New Roman"/>
                <w:sz w:val="21"/>
                <w:szCs w:val="21"/>
              </w:rPr>
            </w:pPr>
          </w:p>
        </w:tc>
      </w:tr>
      <w:tr w:rsidR="00503978" w:rsidRPr="00503978" w14:paraId="662F227C" w14:textId="77777777" w:rsidTr="00D43F6F">
        <w:trPr>
          <w:trHeight w:val="4815"/>
          <w:jc w:val="center"/>
        </w:trPr>
        <w:tc>
          <w:tcPr>
            <w:tcW w:w="686" w:type="dxa"/>
          </w:tcPr>
          <w:p w14:paraId="2AD03C57" w14:textId="27022E15" w:rsidR="00D43F6F" w:rsidRPr="00A334A3" w:rsidRDefault="00300A87" w:rsidP="00866AF9">
            <w:pPr>
              <w:spacing w:after="0" w:line="240" w:lineRule="auto"/>
              <w:jc w:val="both"/>
              <w:rPr>
                <w:rFonts w:ascii="Times New Roman" w:hAnsi="Times New Roman" w:cs="Times New Roman"/>
                <w:sz w:val="22"/>
              </w:rPr>
            </w:pPr>
            <w:r>
              <w:rPr>
                <w:rFonts w:ascii="Times New Roman" w:hAnsi="Times New Roman" w:cs="Times New Roman"/>
                <w:sz w:val="22"/>
              </w:rPr>
              <w:lastRenderedPageBreak/>
              <w:t>3.</w:t>
            </w:r>
          </w:p>
        </w:tc>
        <w:tc>
          <w:tcPr>
            <w:tcW w:w="1418" w:type="dxa"/>
          </w:tcPr>
          <w:p w14:paraId="11A79872" w14:textId="74C3E946" w:rsidR="00D43F6F" w:rsidRPr="00A334A3" w:rsidRDefault="00300A87" w:rsidP="00866AF9">
            <w:pPr>
              <w:spacing w:after="0" w:line="240" w:lineRule="auto"/>
              <w:jc w:val="both"/>
              <w:rPr>
                <w:rFonts w:ascii="Times New Roman" w:hAnsi="Times New Roman" w:cs="Times New Roman"/>
                <w:sz w:val="22"/>
              </w:rPr>
            </w:pPr>
            <w:r>
              <w:rPr>
                <w:rFonts w:ascii="Times New Roman" w:hAnsi="Times New Roman" w:cs="Times New Roman"/>
                <w:sz w:val="22"/>
              </w:rPr>
              <w:t>MIRO RAŠIĆ</w:t>
            </w:r>
          </w:p>
        </w:tc>
        <w:tc>
          <w:tcPr>
            <w:tcW w:w="1701" w:type="dxa"/>
          </w:tcPr>
          <w:p w14:paraId="659001C9" w14:textId="14652EEC" w:rsidR="00D43F6F" w:rsidRPr="00A334A3" w:rsidRDefault="00300A87" w:rsidP="00866AF9">
            <w:pPr>
              <w:spacing w:after="0" w:line="240" w:lineRule="auto"/>
              <w:jc w:val="both"/>
              <w:rPr>
                <w:rFonts w:ascii="Times New Roman" w:hAnsi="Times New Roman" w:cs="Times New Roman"/>
                <w:sz w:val="22"/>
              </w:rPr>
            </w:pPr>
            <w:r w:rsidRPr="00300A87">
              <w:rPr>
                <w:rFonts w:ascii="Times New Roman" w:hAnsi="Times New Roman" w:cs="Times New Roman"/>
                <w:sz w:val="22"/>
              </w:rPr>
              <w:t>SPORT, REKREACIJA I SLOBODNO VRIJEME za cca. 1000 SUGRAĐANA, potencijalnih korisnika</w:t>
            </w:r>
          </w:p>
        </w:tc>
        <w:tc>
          <w:tcPr>
            <w:tcW w:w="3118" w:type="dxa"/>
          </w:tcPr>
          <w:p w14:paraId="5A114C58" w14:textId="77777777" w:rsidR="00300A87" w:rsidRPr="00300A87" w:rsidRDefault="00300A87" w:rsidP="00300A87">
            <w:pPr>
              <w:spacing w:after="0" w:line="240" w:lineRule="auto"/>
              <w:rPr>
                <w:rFonts w:ascii="Times New Roman" w:hAnsi="Times New Roman" w:cs="Times New Roman"/>
                <w:sz w:val="22"/>
              </w:rPr>
            </w:pPr>
            <w:r w:rsidRPr="00300A87">
              <w:rPr>
                <w:rFonts w:ascii="Times New Roman" w:hAnsi="Times New Roman" w:cs="Times New Roman"/>
                <w:sz w:val="22"/>
              </w:rPr>
              <w:t>PROGRAM 1503 OTKUP ZEMLJIŠTA I OBJEKATA</w:t>
            </w:r>
          </w:p>
          <w:p w14:paraId="64AABB9C" w14:textId="77777777" w:rsidR="00300A87" w:rsidRPr="00300A87" w:rsidRDefault="00300A87" w:rsidP="00300A87">
            <w:pPr>
              <w:spacing w:after="0" w:line="240" w:lineRule="auto"/>
              <w:rPr>
                <w:rFonts w:ascii="Times New Roman" w:hAnsi="Times New Roman" w:cs="Times New Roman"/>
                <w:sz w:val="22"/>
              </w:rPr>
            </w:pPr>
          </w:p>
          <w:p w14:paraId="04EC423E" w14:textId="77777777" w:rsidR="00300A87" w:rsidRPr="00300A87" w:rsidRDefault="00300A87" w:rsidP="00300A87">
            <w:pPr>
              <w:spacing w:after="0" w:line="240" w:lineRule="auto"/>
              <w:rPr>
                <w:rFonts w:ascii="Times New Roman" w:hAnsi="Times New Roman" w:cs="Times New Roman"/>
                <w:sz w:val="22"/>
              </w:rPr>
            </w:pPr>
            <w:r w:rsidRPr="00300A87">
              <w:rPr>
                <w:rFonts w:ascii="Times New Roman" w:hAnsi="Times New Roman" w:cs="Times New Roman"/>
                <w:sz w:val="22"/>
              </w:rPr>
              <w:t xml:space="preserve">Predlažem i molim u ime nekoliko stotina (pa čak i tisuću) sumještana područja Tabašnice, Salaša, i mjesnog odbora Tekija otkup neke od neizgrađenih parcela (možda u produžetku ulice Janka Matka i sl.) za potrebe izgradnje dječjeg igrališta. Naime, mjesni odbor Tekije i područja koje navodim uopće nema nikakvo igralište odgovarajuće za pojedinačne ili ekipne sportove kao niti sjenicu gdje bi provodili vrijeme i družili se, kako mladi tako i stari naši sugrađani što predstavlja prilično nezadovoljstvo i određenu uskračenost sumještanima a posebice mladih naraštaja u odnosu na neka druga područja našega grada. Trenutno se djeca igraju po prometnicama, raskrižjima i sl. što definitivno ugrožava njihovu sigurnost. </w:t>
            </w:r>
          </w:p>
          <w:p w14:paraId="60A17AF2" w14:textId="6F0E6749" w:rsidR="00D43F6F" w:rsidRPr="00A334A3" w:rsidRDefault="00300A87" w:rsidP="00300A87">
            <w:pPr>
              <w:spacing w:after="0" w:line="240" w:lineRule="auto"/>
              <w:rPr>
                <w:rFonts w:ascii="Times New Roman" w:hAnsi="Times New Roman" w:cs="Times New Roman"/>
                <w:sz w:val="22"/>
              </w:rPr>
            </w:pPr>
            <w:r w:rsidRPr="00300A87">
              <w:rPr>
                <w:rFonts w:ascii="Times New Roman" w:hAnsi="Times New Roman" w:cs="Times New Roman"/>
                <w:sz w:val="22"/>
              </w:rPr>
              <w:tab/>
            </w:r>
            <w:r w:rsidRPr="00300A87">
              <w:rPr>
                <w:rFonts w:ascii="Times New Roman" w:hAnsi="Times New Roman" w:cs="Times New Roman"/>
                <w:sz w:val="22"/>
              </w:rPr>
              <w:tab/>
            </w:r>
          </w:p>
        </w:tc>
        <w:tc>
          <w:tcPr>
            <w:tcW w:w="2716" w:type="dxa"/>
          </w:tcPr>
          <w:p w14:paraId="6398DD8C" w14:textId="2DB27999" w:rsidR="00300A87" w:rsidRPr="00503978" w:rsidRDefault="00300A87" w:rsidP="00866AF9">
            <w:pPr>
              <w:rPr>
                <w:rFonts w:ascii="Times New Roman" w:hAnsi="Times New Roman" w:cs="Times New Roman"/>
                <w:sz w:val="21"/>
                <w:szCs w:val="21"/>
              </w:rPr>
            </w:pPr>
            <w:r w:rsidRPr="00503978">
              <w:rPr>
                <w:rFonts w:ascii="Times New Roman" w:hAnsi="Times New Roman" w:cs="Times New Roman"/>
                <w:sz w:val="21"/>
                <w:szCs w:val="21"/>
              </w:rPr>
              <w:t xml:space="preserve">PRIJEDLOG SE DJELOMIČNO </w:t>
            </w:r>
            <w:r w:rsidR="00503978">
              <w:rPr>
                <w:rFonts w:ascii="Times New Roman" w:hAnsi="Times New Roman" w:cs="Times New Roman"/>
                <w:sz w:val="21"/>
                <w:szCs w:val="21"/>
              </w:rPr>
              <w:t>PRIHVAĆA</w:t>
            </w:r>
          </w:p>
          <w:p w14:paraId="2DF68A94" w14:textId="7E75640B" w:rsidR="00300A87" w:rsidRPr="00503978" w:rsidRDefault="00300A87" w:rsidP="00866AF9">
            <w:pPr>
              <w:rPr>
                <w:rFonts w:ascii="Times New Roman" w:hAnsi="Times New Roman" w:cs="Times New Roman"/>
                <w:sz w:val="21"/>
                <w:szCs w:val="21"/>
              </w:rPr>
            </w:pPr>
            <w:r w:rsidRPr="00503978">
              <w:rPr>
                <w:rFonts w:ascii="Times New Roman" w:hAnsi="Times New Roman" w:cs="Times New Roman"/>
                <w:sz w:val="21"/>
                <w:szCs w:val="21"/>
              </w:rPr>
              <w:t>Planom i programom rada Upravnog odjela za komunalne djelatnosti i gospodarenje predviđeno je kroz ovo proračunsko razdoblje  izvršiti rekonstrukciju igrališta u mjesnom odboru Tekija.</w:t>
            </w:r>
          </w:p>
        </w:tc>
      </w:tr>
    </w:tbl>
    <w:p w14:paraId="54CC29AE" w14:textId="77777777" w:rsidR="00DD6C07" w:rsidRPr="00A334A3" w:rsidRDefault="00DD6C07" w:rsidP="00DD6C07">
      <w:pPr>
        <w:spacing w:after="0" w:line="240" w:lineRule="auto"/>
        <w:rPr>
          <w:rFonts w:ascii="Times New Roman" w:hAnsi="Times New Roman" w:cs="Times New Roman"/>
          <w:b/>
          <w:sz w:val="22"/>
          <w:lang w:val="hr-BA"/>
        </w:rPr>
      </w:pPr>
    </w:p>
    <w:p w14:paraId="3767E070" w14:textId="77777777" w:rsidR="00DD6C07" w:rsidRPr="00A334A3" w:rsidRDefault="00DD6C07" w:rsidP="00DD6C07">
      <w:pPr>
        <w:spacing w:after="0" w:line="240" w:lineRule="auto"/>
        <w:rPr>
          <w:rFonts w:ascii="Times New Roman" w:hAnsi="Times New Roman" w:cs="Times New Roman"/>
          <w:b/>
          <w:sz w:val="22"/>
          <w:lang w:val="hr-BA"/>
        </w:rPr>
      </w:pPr>
    </w:p>
    <w:p w14:paraId="2719F591" w14:textId="77777777" w:rsidR="00803D33" w:rsidRPr="00A334A3" w:rsidRDefault="00803D33" w:rsidP="00803D33">
      <w:pPr>
        <w:spacing w:after="0"/>
        <w:jc w:val="both"/>
        <w:rPr>
          <w:rFonts w:ascii="Times New Roman" w:hAnsi="Times New Roman" w:cs="Times New Roman"/>
          <w:sz w:val="22"/>
        </w:rPr>
      </w:pPr>
      <w:r w:rsidRPr="00A334A3">
        <w:rPr>
          <w:rFonts w:ascii="Times New Roman" w:hAnsi="Times New Roman" w:cs="Times New Roman"/>
          <w:sz w:val="22"/>
        </w:rPr>
        <w:t>NAPOMENA</w:t>
      </w:r>
      <w:r w:rsidR="0054371A" w:rsidRPr="00A334A3">
        <w:rPr>
          <w:rFonts w:ascii="Times New Roman" w:hAnsi="Times New Roman" w:cs="Times New Roman"/>
          <w:sz w:val="22"/>
        </w:rPr>
        <w:t>: -</w:t>
      </w:r>
    </w:p>
    <w:p w14:paraId="29EE7D17" w14:textId="77777777" w:rsidR="00803D33" w:rsidRPr="00A334A3" w:rsidRDefault="00803D33" w:rsidP="00803D33">
      <w:pPr>
        <w:jc w:val="both"/>
        <w:rPr>
          <w:rFonts w:ascii="Times New Roman" w:hAnsi="Times New Roman" w:cs="Times New Roman"/>
          <w:sz w:val="22"/>
        </w:rPr>
      </w:pPr>
    </w:p>
    <w:p w14:paraId="3D41A4C9" w14:textId="0A961EB3" w:rsidR="00FC3197" w:rsidRPr="00A334A3" w:rsidRDefault="00803D33" w:rsidP="00302D3B">
      <w:pPr>
        <w:jc w:val="both"/>
        <w:rPr>
          <w:rFonts w:ascii="Times New Roman" w:hAnsi="Times New Roman" w:cs="Times New Roman"/>
          <w:sz w:val="22"/>
        </w:rPr>
      </w:pPr>
      <w:r w:rsidRPr="00A334A3">
        <w:rPr>
          <w:rFonts w:ascii="Times New Roman" w:hAnsi="Times New Roman" w:cs="Times New Roman"/>
          <w:sz w:val="22"/>
        </w:rPr>
        <w:t xml:space="preserve">Požega, </w:t>
      </w:r>
      <w:r w:rsidR="00F64C38" w:rsidRPr="00A334A3">
        <w:rPr>
          <w:rFonts w:ascii="Times New Roman" w:hAnsi="Times New Roman" w:cs="Times New Roman"/>
          <w:sz w:val="22"/>
        </w:rPr>
        <w:t>1</w:t>
      </w:r>
      <w:r w:rsidR="004A1C66">
        <w:rPr>
          <w:rFonts w:ascii="Times New Roman" w:hAnsi="Times New Roman" w:cs="Times New Roman"/>
          <w:sz w:val="22"/>
        </w:rPr>
        <w:t>3</w:t>
      </w:r>
      <w:r w:rsidRPr="00A334A3">
        <w:rPr>
          <w:rFonts w:ascii="Times New Roman" w:hAnsi="Times New Roman" w:cs="Times New Roman"/>
          <w:sz w:val="22"/>
        </w:rPr>
        <w:t xml:space="preserve">. </w:t>
      </w:r>
      <w:r w:rsidR="00F64C38" w:rsidRPr="00A334A3">
        <w:rPr>
          <w:rFonts w:ascii="Times New Roman" w:hAnsi="Times New Roman" w:cs="Times New Roman"/>
          <w:sz w:val="22"/>
        </w:rPr>
        <w:t>studeni</w:t>
      </w:r>
      <w:r w:rsidRPr="00A334A3">
        <w:rPr>
          <w:rFonts w:ascii="Times New Roman" w:hAnsi="Times New Roman" w:cs="Times New Roman"/>
          <w:sz w:val="22"/>
        </w:rPr>
        <w:t xml:space="preserve"> 20</w:t>
      </w:r>
      <w:r w:rsidR="004A1C66">
        <w:rPr>
          <w:rFonts w:ascii="Times New Roman" w:hAnsi="Times New Roman" w:cs="Times New Roman"/>
          <w:sz w:val="22"/>
        </w:rPr>
        <w:t>20</w:t>
      </w:r>
      <w:r w:rsidRPr="00A334A3">
        <w:rPr>
          <w:rFonts w:ascii="Times New Roman" w:hAnsi="Times New Roman" w:cs="Times New Roman"/>
          <w:sz w:val="22"/>
        </w:rPr>
        <w:t>. godine</w:t>
      </w:r>
    </w:p>
    <w:sectPr w:rsidR="00FC3197" w:rsidRPr="00A334A3" w:rsidSect="00A334A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41A92" w14:textId="77777777" w:rsidR="00A04C98" w:rsidRDefault="00A04C98" w:rsidP="00D43F6F">
      <w:pPr>
        <w:spacing w:after="0" w:line="240" w:lineRule="auto"/>
      </w:pPr>
      <w:r>
        <w:separator/>
      </w:r>
    </w:p>
  </w:endnote>
  <w:endnote w:type="continuationSeparator" w:id="0">
    <w:p w14:paraId="3FF074FC" w14:textId="77777777" w:rsidR="00A04C98" w:rsidRDefault="00A04C98" w:rsidP="00D4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892959"/>
      <w:docPartObj>
        <w:docPartGallery w:val="Page Numbers (Bottom of Page)"/>
        <w:docPartUnique/>
      </w:docPartObj>
    </w:sdtPr>
    <w:sdtEndPr/>
    <w:sdtContent>
      <w:p w14:paraId="3999C1E2" w14:textId="25AB9D2F" w:rsidR="00D43F6F" w:rsidRDefault="00D43F6F">
        <w:pPr>
          <w:pStyle w:val="Podnoje"/>
          <w:jc w:val="right"/>
        </w:pPr>
        <w:r>
          <w:fldChar w:fldCharType="begin"/>
        </w:r>
        <w:r>
          <w:instrText>PAGE   \* MERGEFORMAT</w:instrText>
        </w:r>
        <w:r>
          <w:fldChar w:fldCharType="separate"/>
        </w:r>
        <w:r>
          <w:t>2</w:t>
        </w:r>
        <w:r>
          <w:fldChar w:fldCharType="end"/>
        </w:r>
      </w:p>
    </w:sdtContent>
  </w:sdt>
  <w:p w14:paraId="39B2E178" w14:textId="77777777" w:rsidR="00D43F6F" w:rsidRDefault="00D43F6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E7EEE" w14:textId="77777777" w:rsidR="00A04C98" w:rsidRDefault="00A04C98" w:rsidP="00D43F6F">
      <w:pPr>
        <w:spacing w:after="0" w:line="240" w:lineRule="auto"/>
      </w:pPr>
      <w:r>
        <w:separator/>
      </w:r>
    </w:p>
  </w:footnote>
  <w:footnote w:type="continuationSeparator" w:id="0">
    <w:p w14:paraId="42D1B9F8" w14:textId="77777777" w:rsidR="00A04C98" w:rsidRDefault="00A04C98" w:rsidP="00D43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F5A"/>
    <w:multiLevelType w:val="hybridMultilevel"/>
    <w:tmpl w:val="2DC8D010"/>
    <w:lvl w:ilvl="0" w:tplc="010EDB1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C36704"/>
    <w:multiLevelType w:val="hybridMultilevel"/>
    <w:tmpl w:val="D4929A56"/>
    <w:lvl w:ilvl="0" w:tplc="496E91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752060"/>
    <w:multiLevelType w:val="hybridMultilevel"/>
    <w:tmpl w:val="2EAC0406"/>
    <w:lvl w:ilvl="0" w:tplc="7EE6DE34">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3B364B9E"/>
    <w:multiLevelType w:val="hybridMultilevel"/>
    <w:tmpl w:val="1C7297C4"/>
    <w:lvl w:ilvl="0" w:tplc="5DD2BFCA">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2364FE"/>
    <w:multiLevelType w:val="hybridMultilevel"/>
    <w:tmpl w:val="275676FE"/>
    <w:lvl w:ilvl="0" w:tplc="46D6DFE6">
      <w:numFmt w:val="bullet"/>
      <w:lvlText w:val="-"/>
      <w:lvlJc w:val="left"/>
      <w:pPr>
        <w:ind w:left="765" w:hanging="360"/>
      </w:pPr>
      <w:rPr>
        <w:rFonts w:ascii="Times New Roman" w:eastAsiaTheme="minorHAnsi"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 w15:restartNumberingAfterBreak="0">
    <w:nsid w:val="70110214"/>
    <w:multiLevelType w:val="hybridMultilevel"/>
    <w:tmpl w:val="818ECD86"/>
    <w:lvl w:ilvl="0" w:tplc="53B0181E">
      <w:start w:val="1"/>
      <w:numFmt w:val="decimal"/>
      <w:lvlText w:val="%1."/>
      <w:lvlJc w:val="left"/>
      <w:pPr>
        <w:ind w:left="0" w:firstLine="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07"/>
    <w:rsid w:val="000D672C"/>
    <w:rsid w:val="00172019"/>
    <w:rsid w:val="001D0781"/>
    <w:rsid w:val="00266E92"/>
    <w:rsid w:val="002D7C16"/>
    <w:rsid w:val="002F1CED"/>
    <w:rsid w:val="00300A87"/>
    <w:rsid w:val="00302D3B"/>
    <w:rsid w:val="004055CD"/>
    <w:rsid w:val="004232B9"/>
    <w:rsid w:val="0046559D"/>
    <w:rsid w:val="00482B6B"/>
    <w:rsid w:val="004A1C66"/>
    <w:rsid w:val="004A70C8"/>
    <w:rsid w:val="00503978"/>
    <w:rsid w:val="0054371A"/>
    <w:rsid w:val="006C72E0"/>
    <w:rsid w:val="006F4205"/>
    <w:rsid w:val="0071539E"/>
    <w:rsid w:val="00753AED"/>
    <w:rsid w:val="007C4DE3"/>
    <w:rsid w:val="00803D33"/>
    <w:rsid w:val="00837632"/>
    <w:rsid w:val="00866AF9"/>
    <w:rsid w:val="008737DE"/>
    <w:rsid w:val="00904BF2"/>
    <w:rsid w:val="00957A0E"/>
    <w:rsid w:val="00957A78"/>
    <w:rsid w:val="009A2F18"/>
    <w:rsid w:val="009B0C68"/>
    <w:rsid w:val="00A04C98"/>
    <w:rsid w:val="00A334A3"/>
    <w:rsid w:val="00AC0825"/>
    <w:rsid w:val="00AF7D7C"/>
    <w:rsid w:val="00B339A3"/>
    <w:rsid w:val="00C104B8"/>
    <w:rsid w:val="00CA1BB3"/>
    <w:rsid w:val="00CC4C34"/>
    <w:rsid w:val="00CD063E"/>
    <w:rsid w:val="00CE4BD3"/>
    <w:rsid w:val="00D24791"/>
    <w:rsid w:val="00D407E9"/>
    <w:rsid w:val="00D43F6F"/>
    <w:rsid w:val="00D4594E"/>
    <w:rsid w:val="00DA65EB"/>
    <w:rsid w:val="00DD6C07"/>
    <w:rsid w:val="00DE6BAF"/>
    <w:rsid w:val="00DE77C3"/>
    <w:rsid w:val="00E41BFE"/>
    <w:rsid w:val="00EA5282"/>
    <w:rsid w:val="00F610BF"/>
    <w:rsid w:val="00F64C38"/>
    <w:rsid w:val="00FC3197"/>
    <w:rsid w:val="00FF17B5"/>
    <w:rsid w:val="00FF7C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F84E"/>
  <w15:chartTrackingRefBased/>
  <w15:docId w15:val="{11D9137E-4720-4DF1-A951-63B338D9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07"/>
    <w:pPr>
      <w:spacing w:line="254" w:lineRule="auto"/>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OdlomakpopisaChar">
    <w:name w:val="Odlomak popisa Char"/>
    <w:basedOn w:val="Zadanifontodlomka"/>
    <w:link w:val="Odlomakpopisa"/>
    <w:uiPriority w:val="34"/>
    <w:locked/>
    <w:rsid w:val="00DD6C07"/>
    <w:rPr>
      <w:sz w:val="24"/>
    </w:rPr>
  </w:style>
  <w:style w:type="paragraph" w:styleId="Odlomakpopisa">
    <w:name w:val="List Paragraph"/>
    <w:basedOn w:val="Normal"/>
    <w:link w:val="OdlomakpopisaChar"/>
    <w:uiPriority w:val="34"/>
    <w:qFormat/>
    <w:rsid w:val="00DD6C07"/>
    <w:pPr>
      <w:spacing w:line="256" w:lineRule="auto"/>
      <w:ind w:left="720"/>
      <w:contextualSpacing/>
    </w:pPr>
  </w:style>
  <w:style w:type="paragraph" w:styleId="Opisslike">
    <w:name w:val="caption"/>
    <w:basedOn w:val="Normal"/>
    <w:next w:val="Normal"/>
    <w:uiPriority w:val="35"/>
    <w:unhideWhenUsed/>
    <w:qFormat/>
    <w:rsid w:val="00DD6C07"/>
    <w:pPr>
      <w:spacing w:after="200" w:line="240" w:lineRule="auto"/>
    </w:pPr>
    <w:rPr>
      <w:i/>
      <w:iCs/>
      <w:color w:val="44546A" w:themeColor="text2"/>
      <w:sz w:val="18"/>
      <w:szCs w:val="18"/>
    </w:rPr>
  </w:style>
  <w:style w:type="paragraph" w:styleId="StandardWeb">
    <w:name w:val="Normal (Web)"/>
    <w:basedOn w:val="Normal"/>
    <w:uiPriority w:val="99"/>
    <w:unhideWhenUsed/>
    <w:rsid w:val="00DD6C07"/>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wffiletext">
    <w:name w:val="wf_file_text"/>
    <w:basedOn w:val="Zadanifontodlomka"/>
    <w:rsid w:val="00DD6C07"/>
  </w:style>
  <w:style w:type="paragraph" w:styleId="Tekstbalonia">
    <w:name w:val="Balloon Text"/>
    <w:basedOn w:val="Normal"/>
    <w:link w:val="TekstbaloniaChar"/>
    <w:uiPriority w:val="99"/>
    <w:semiHidden/>
    <w:unhideWhenUsed/>
    <w:rsid w:val="00302D3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02D3B"/>
    <w:rPr>
      <w:rFonts w:ascii="Segoe UI" w:hAnsi="Segoe UI" w:cs="Segoe UI"/>
      <w:sz w:val="18"/>
      <w:szCs w:val="18"/>
    </w:rPr>
  </w:style>
  <w:style w:type="paragraph" w:styleId="Zaglavlje">
    <w:name w:val="header"/>
    <w:basedOn w:val="Normal"/>
    <w:link w:val="ZaglavljeChar"/>
    <w:uiPriority w:val="99"/>
    <w:unhideWhenUsed/>
    <w:rsid w:val="00D43F6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3F6F"/>
    <w:rPr>
      <w:sz w:val="24"/>
    </w:rPr>
  </w:style>
  <w:style w:type="paragraph" w:styleId="Podnoje">
    <w:name w:val="footer"/>
    <w:basedOn w:val="Normal"/>
    <w:link w:val="PodnojeChar"/>
    <w:uiPriority w:val="99"/>
    <w:unhideWhenUsed/>
    <w:rsid w:val="00D43F6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3F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01960">
      <w:bodyDiv w:val="1"/>
      <w:marLeft w:val="0"/>
      <w:marRight w:val="0"/>
      <w:marTop w:val="0"/>
      <w:marBottom w:val="0"/>
      <w:divBdr>
        <w:top w:val="none" w:sz="0" w:space="0" w:color="auto"/>
        <w:left w:val="none" w:sz="0" w:space="0" w:color="auto"/>
        <w:bottom w:val="none" w:sz="0" w:space="0" w:color="auto"/>
        <w:right w:val="none" w:sz="0" w:space="0" w:color="auto"/>
      </w:divBdr>
    </w:div>
    <w:div w:id="410808285">
      <w:bodyDiv w:val="1"/>
      <w:marLeft w:val="0"/>
      <w:marRight w:val="0"/>
      <w:marTop w:val="0"/>
      <w:marBottom w:val="0"/>
      <w:divBdr>
        <w:top w:val="none" w:sz="0" w:space="0" w:color="auto"/>
        <w:left w:val="none" w:sz="0" w:space="0" w:color="auto"/>
        <w:bottom w:val="none" w:sz="0" w:space="0" w:color="auto"/>
        <w:right w:val="none" w:sz="0" w:space="0" w:color="auto"/>
      </w:divBdr>
    </w:div>
    <w:div w:id="615792434">
      <w:bodyDiv w:val="1"/>
      <w:marLeft w:val="0"/>
      <w:marRight w:val="0"/>
      <w:marTop w:val="0"/>
      <w:marBottom w:val="0"/>
      <w:divBdr>
        <w:top w:val="none" w:sz="0" w:space="0" w:color="auto"/>
        <w:left w:val="none" w:sz="0" w:space="0" w:color="auto"/>
        <w:bottom w:val="none" w:sz="0" w:space="0" w:color="auto"/>
        <w:right w:val="none" w:sz="0" w:space="0" w:color="auto"/>
      </w:divBdr>
    </w:div>
    <w:div w:id="1165242709">
      <w:bodyDiv w:val="1"/>
      <w:marLeft w:val="0"/>
      <w:marRight w:val="0"/>
      <w:marTop w:val="0"/>
      <w:marBottom w:val="0"/>
      <w:divBdr>
        <w:top w:val="none" w:sz="0" w:space="0" w:color="auto"/>
        <w:left w:val="none" w:sz="0" w:space="0" w:color="auto"/>
        <w:bottom w:val="none" w:sz="0" w:space="0" w:color="auto"/>
        <w:right w:val="none" w:sz="0" w:space="0" w:color="auto"/>
      </w:divBdr>
    </w:div>
    <w:div w:id="1323506186">
      <w:bodyDiv w:val="1"/>
      <w:marLeft w:val="0"/>
      <w:marRight w:val="0"/>
      <w:marTop w:val="0"/>
      <w:marBottom w:val="0"/>
      <w:divBdr>
        <w:top w:val="none" w:sz="0" w:space="0" w:color="auto"/>
        <w:left w:val="none" w:sz="0" w:space="0" w:color="auto"/>
        <w:bottom w:val="none" w:sz="0" w:space="0" w:color="auto"/>
        <w:right w:val="none" w:sz="0" w:space="0" w:color="auto"/>
      </w:divBdr>
    </w:div>
    <w:div w:id="1453013368">
      <w:bodyDiv w:val="1"/>
      <w:marLeft w:val="0"/>
      <w:marRight w:val="0"/>
      <w:marTop w:val="0"/>
      <w:marBottom w:val="0"/>
      <w:divBdr>
        <w:top w:val="none" w:sz="0" w:space="0" w:color="auto"/>
        <w:left w:val="none" w:sz="0" w:space="0" w:color="auto"/>
        <w:bottom w:val="none" w:sz="0" w:space="0" w:color="auto"/>
        <w:right w:val="none" w:sz="0" w:space="0" w:color="auto"/>
      </w:divBdr>
    </w:div>
    <w:div w:id="1568539557">
      <w:bodyDiv w:val="1"/>
      <w:marLeft w:val="0"/>
      <w:marRight w:val="0"/>
      <w:marTop w:val="0"/>
      <w:marBottom w:val="0"/>
      <w:divBdr>
        <w:top w:val="none" w:sz="0" w:space="0" w:color="auto"/>
        <w:left w:val="none" w:sz="0" w:space="0" w:color="auto"/>
        <w:bottom w:val="none" w:sz="0" w:space="0" w:color="auto"/>
        <w:right w:val="none" w:sz="0" w:space="0" w:color="auto"/>
      </w:divBdr>
    </w:div>
    <w:div w:id="15829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A5F0-F5AF-4BA5-9DCD-4656FCA6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2187</Words>
  <Characters>12471</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Odjel za financije 01</cp:lastModifiedBy>
  <cp:revision>9</cp:revision>
  <cp:lastPrinted>2020-11-13T15:25:00Z</cp:lastPrinted>
  <dcterms:created xsi:type="dcterms:W3CDTF">2019-11-15T13:06:00Z</dcterms:created>
  <dcterms:modified xsi:type="dcterms:W3CDTF">2020-11-13T16:43:00Z</dcterms:modified>
</cp:coreProperties>
</file>