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1"/>
        <w:gridCol w:w="4077"/>
      </w:tblGrid>
      <w:tr w:rsidR="00092CE0" w:rsidRPr="00AD7BF2" w14:paraId="10042139" w14:textId="77777777" w:rsidTr="00AD7BF2">
        <w:tc>
          <w:tcPr>
            <w:tcW w:w="5211" w:type="dxa"/>
            <w:shd w:val="clear" w:color="auto" w:fill="auto"/>
          </w:tcPr>
          <w:p w14:paraId="59ACEE46" w14:textId="77777777" w:rsidR="00092CE0" w:rsidRPr="00AD7BF2" w:rsidRDefault="00092CE0" w:rsidP="00AD7BF2">
            <w:pPr>
              <w:spacing w:line="276" w:lineRule="auto"/>
              <w:rPr>
                <w:sz w:val="22"/>
                <w:szCs w:val="22"/>
              </w:rPr>
            </w:pPr>
            <w:r w:rsidRPr="00AD7BF2">
              <w:rPr>
                <w:sz w:val="22"/>
                <w:szCs w:val="22"/>
              </w:rPr>
              <w:t xml:space="preserve">Naziv obveznika: </w:t>
            </w:r>
            <w:r w:rsidR="00D84711">
              <w:rPr>
                <w:sz w:val="22"/>
                <w:szCs w:val="22"/>
              </w:rPr>
              <w:t>Lokalna razvojna agencija Požega</w:t>
            </w:r>
          </w:p>
        </w:tc>
        <w:tc>
          <w:tcPr>
            <w:tcW w:w="4077" w:type="dxa"/>
            <w:shd w:val="clear" w:color="auto" w:fill="auto"/>
          </w:tcPr>
          <w:p w14:paraId="5A3DCD91" w14:textId="77777777" w:rsidR="00092CE0" w:rsidRPr="00AD7BF2" w:rsidRDefault="00092CE0" w:rsidP="00AD7BF2">
            <w:pPr>
              <w:spacing w:line="276" w:lineRule="auto"/>
              <w:rPr>
                <w:sz w:val="22"/>
                <w:szCs w:val="22"/>
              </w:rPr>
            </w:pPr>
            <w:r w:rsidRPr="00AD7BF2">
              <w:rPr>
                <w:sz w:val="22"/>
                <w:szCs w:val="22"/>
              </w:rPr>
              <w:t xml:space="preserve">Broj RKP-a: </w:t>
            </w:r>
            <w:r w:rsidR="00D84711">
              <w:rPr>
                <w:sz w:val="22"/>
                <w:szCs w:val="22"/>
              </w:rPr>
              <w:t>50725</w:t>
            </w:r>
          </w:p>
        </w:tc>
      </w:tr>
      <w:tr w:rsidR="00092CE0" w:rsidRPr="00AD7BF2" w14:paraId="08030482" w14:textId="77777777" w:rsidTr="00AD7BF2">
        <w:tc>
          <w:tcPr>
            <w:tcW w:w="5211" w:type="dxa"/>
            <w:shd w:val="clear" w:color="auto" w:fill="auto"/>
          </w:tcPr>
          <w:p w14:paraId="097B509E" w14:textId="77777777" w:rsidR="00092CE0" w:rsidRPr="00AD7BF2" w:rsidRDefault="00092CE0" w:rsidP="00AD7BF2">
            <w:pPr>
              <w:spacing w:line="276" w:lineRule="auto"/>
              <w:rPr>
                <w:sz w:val="22"/>
                <w:szCs w:val="22"/>
              </w:rPr>
            </w:pPr>
            <w:r w:rsidRPr="00AD7BF2">
              <w:rPr>
                <w:sz w:val="22"/>
                <w:szCs w:val="22"/>
              </w:rPr>
              <w:t xml:space="preserve">Sjedište obveznika: 34000 Požega, Industrijska </w:t>
            </w:r>
            <w:r w:rsidR="00D84711">
              <w:rPr>
                <w:sz w:val="22"/>
                <w:szCs w:val="22"/>
              </w:rPr>
              <w:t>39</w:t>
            </w:r>
            <w:r w:rsidRPr="00AD7BF2">
              <w:rPr>
                <w:sz w:val="22"/>
                <w:szCs w:val="22"/>
              </w:rPr>
              <w:tab/>
            </w:r>
          </w:p>
        </w:tc>
        <w:tc>
          <w:tcPr>
            <w:tcW w:w="4077" w:type="dxa"/>
            <w:shd w:val="clear" w:color="auto" w:fill="auto"/>
          </w:tcPr>
          <w:p w14:paraId="5AD066C2" w14:textId="77777777" w:rsidR="00092CE0" w:rsidRPr="00AD7BF2" w:rsidRDefault="00092CE0" w:rsidP="00AD7BF2">
            <w:pPr>
              <w:spacing w:line="276" w:lineRule="auto"/>
              <w:rPr>
                <w:sz w:val="22"/>
                <w:szCs w:val="22"/>
              </w:rPr>
            </w:pPr>
            <w:r w:rsidRPr="00AD7BF2">
              <w:rPr>
                <w:sz w:val="22"/>
                <w:szCs w:val="22"/>
              </w:rPr>
              <w:t xml:space="preserve">Matični broj: </w:t>
            </w:r>
            <w:r w:rsidR="00D84711">
              <w:rPr>
                <w:sz w:val="22"/>
                <w:szCs w:val="22"/>
              </w:rPr>
              <w:t>05067570</w:t>
            </w:r>
          </w:p>
        </w:tc>
      </w:tr>
      <w:tr w:rsidR="00092CE0" w:rsidRPr="00AD7BF2" w14:paraId="2F1902D6" w14:textId="77777777" w:rsidTr="00AD7BF2">
        <w:tc>
          <w:tcPr>
            <w:tcW w:w="5211" w:type="dxa"/>
            <w:shd w:val="clear" w:color="auto" w:fill="auto"/>
          </w:tcPr>
          <w:p w14:paraId="76D0B582" w14:textId="77777777" w:rsidR="00092CE0" w:rsidRPr="00AD7BF2" w:rsidRDefault="00092CE0" w:rsidP="00AD7BF2">
            <w:pPr>
              <w:spacing w:line="276" w:lineRule="auto"/>
              <w:rPr>
                <w:sz w:val="22"/>
                <w:szCs w:val="22"/>
              </w:rPr>
            </w:pPr>
            <w:r w:rsidRPr="00AD7BF2">
              <w:rPr>
                <w:sz w:val="22"/>
                <w:szCs w:val="22"/>
              </w:rPr>
              <w:t xml:space="preserve">Adresa sjedišta obveznika: 34000 Požega, Industrijska </w:t>
            </w:r>
            <w:r w:rsidR="00D84711">
              <w:rPr>
                <w:sz w:val="22"/>
                <w:szCs w:val="22"/>
              </w:rPr>
              <w:t>39</w:t>
            </w:r>
          </w:p>
        </w:tc>
        <w:tc>
          <w:tcPr>
            <w:tcW w:w="4077" w:type="dxa"/>
            <w:shd w:val="clear" w:color="auto" w:fill="auto"/>
          </w:tcPr>
          <w:p w14:paraId="3FD0249A" w14:textId="77777777" w:rsidR="00092CE0" w:rsidRPr="00AD7BF2" w:rsidRDefault="00092CE0" w:rsidP="00AD7BF2">
            <w:pPr>
              <w:spacing w:line="276" w:lineRule="auto"/>
              <w:rPr>
                <w:sz w:val="22"/>
                <w:szCs w:val="22"/>
              </w:rPr>
            </w:pPr>
            <w:r w:rsidRPr="00AD7BF2">
              <w:rPr>
                <w:sz w:val="22"/>
                <w:szCs w:val="22"/>
              </w:rPr>
              <w:t xml:space="preserve">OIB: </w:t>
            </w:r>
            <w:r w:rsidR="00D84711">
              <w:rPr>
                <w:sz w:val="22"/>
                <w:szCs w:val="22"/>
              </w:rPr>
              <w:t>16539096480</w:t>
            </w:r>
          </w:p>
        </w:tc>
      </w:tr>
      <w:tr w:rsidR="00092CE0" w:rsidRPr="00AD7BF2" w14:paraId="5DE6AF70" w14:textId="77777777" w:rsidTr="00AD7BF2">
        <w:tc>
          <w:tcPr>
            <w:tcW w:w="5211" w:type="dxa"/>
            <w:shd w:val="clear" w:color="auto" w:fill="auto"/>
          </w:tcPr>
          <w:p w14:paraId="6D8E8BE1" w14:textId="77777777" w:rsidR="00092CE0" w:rsidRPr="00AD7BF2" w:rsidRDefault="00092CE0" w:rsidP="00AD7BF2">
            <w:pPr>
              <w:spacing w:line="276" w:lineRule="auto"/>
              <w:rPr>
                <w:sz w:val="22"/>
                <w:szCs w:val="22"/>
              </w:rPr>
            </w:pPr>
            <w:r w:rsidRPr="00AD7BF2">
              <w:rPr>
                <w:sz w:val="22"/>
                <w:szCs w:val="22"/>
              </w:rPr>
              <w:t xml:space="preserve">Razina: </w:t>
            </w:r>
            <w:r w:rsidR="00D84711">
              <w:rPr>
                <w:sz w:val="22"/>
                <w:szCs w:val="22"/>
              </w:rPr>
              <w:t>21</w:t>
            </w:r>
          </w:p>
        </w:tc>
        <w:tc>
          <w:tcPr>
            <w:tcW w:w="4077" w:type="dxa"/>
            <w:shd w:val="clear" w:color="auto" w:fill="auto"/>
          </w:tcPr>
          <w:p w14:paraId="1099232A" w14:textId="77777777" w:rsidR="00092CE0" w:rsidRPr="00AD7BF2" w:rsidRDefault="00092CE0" w:rsidP="00AD7BF2">
            <w:pPr>
              <w:spacing w:line="276" w:lineRule="auto"/>
              <w:rPr>
                <w:sz w:val="22"/>
                <w:szCs w:val="22"/>
              </w:rPr>
            </w:pPr>
            <w:r w:rsidRPr="00AD7BF2">
              <w:rPr>
                <w:sz w:val="22"/>
                <w:szCs w:val="22"/>
              </w:rPr>
              <w:t xml:space="preserve">Šifra djelatnosti prema NKD-u: </w:t>
            </w:r>
            <w:r w:rsidR="00D84711">
              <w:rPr>
                <w:sz w:val="22"/>
                <w:szCs w:val="22"/>
              </w:rPr>
              <w:t>7022</w:t>
            </w:r>
          </w:p>
        </w:tc>
      </w:tr>
    </w:tbl>
    <w:p w14:paraId="75E549D4" w14:textId="1264901F" w:rsidR="001B4BFB" w:rsidRDefault="001B4BFB" w:rsidP="00A13F7D">
      <w:pPr>
        <w:spacing w:line="276" w:lineRule="auto"/>
        <w:rPr>
          <w:sz w:val="22"/>
          <w:szCs w:val="22"/>
        </w:rPr>
      </w:pPr>
    </w:p>
    <w:p w14:paraId="784E4AAA" w14:textId="77777777" w:rsidR="00092CE0" w:rsidRPr="00092CE0" w:rsidRDefault="00092CE0" w:rsidP="00A13F7D">
      <w:pPr>
        <w:spacing w:line="276" w:lineRule="auto"/>
        <w:rPr>
          <w:sz w:val="22"/>
          <w:szCs w:val="22"/>
        </w:rPr>
      </w:pPr>
    </w:p>
    <w:p w14:paraId="6E935750" w14:textId="77777777" w:rsidR="00893C84" w:rsidRDefault="00893C84" w:rsidP="00893C84">
      <w:pPr>
        <w:spacing w:line="276" w:lineRule="auto"/>
        <w:jc w:val="center"/>
        <w:rPr>
          <w:b/>
          <w:sz w:val="22"/>
          <w:szCs w:val="22"/>
        </w:rPr>
      </w:pPr>
      <w:r>
        <w:rPr>
          <w:b/>
          <w:sz w:val="22"/>
          <w:szCs w:val="22"/>
        </w:rPr>
        <w:t xml:space="preserve">BILJEŠKE UZ FINANCIJSKE IZVJEŠTAJE </w:t>
      </w:r>
    </w:p>
    <w:p w14:paraId="25898622" w14:textId="77777777" w:rsidR="00893C84" w:rsidRDefault="00893C84" w:rsidP="00893C84">
      <w:pPr>
        <w:spacing w:line="276" w:lineRule="auto"/>
        <w:jc w:val="center"/>
        <w:rPr>
          <w:b/>
          <w:sz w:val="22"/>
          <w:szCs w:val="22"/>
        </w:rPr>
      </w:pPr>
      <w:r>
        <w:rPr>
          <w:b/>
          <w:sz w:val="22"/>
          <w:szCs w:val="22"/>
        </w:rPr>
        <w:t>za razdoblje od 1. siječnja do 31. prosinca 202</w:t>
      </w:r>
      <w:r w:rsidR="00247641">
        <w:rPr>
          <w:b/>
          <w:sz w:val="22"/>
          <w:szCs w:val="22"/>
        </w:rPr>
        <w:t>1</w:t>
      </w:r>
      <w:r>
        <w:rPr>
          <w:b/>
          <w:sz w:val="22"/>
          <w:szCs w:val="22"/>
        </w:rPr>
        <w:t>. godine</w:t>
      </w:r>
    </w:p>
    <w:p w14:paraId="27EB99C0" w14:textId="77777777" w:rsidR="00893C84" w:rsidRPr="00092CE0" w:rsidRDefault="00893C84" w:rsidP="00893C84">
      <w:pPr>
        <w:jc w:val="both"/>
        <w:rPr>
          <w:b/>
          <w:sz w:val="22"/>
          <w:szCs w:val="22"/>
        </w:rPr>
      </w:pPr>
    </w:p>
    <w:p w14:paraId="14761499" w14:textId="77777777" w:rsidR="00893C84" w:rsidRDefault="00893C84" w:rsidP="00893C84">
      <w:pPr>
        <w:ind w:firstLine="708"/>
        <w:jc w:val="both"/>
        <w:rPr>
          <w:sz w:val="22"/>
          <w:szCs w:val="22"/>
        </w:rPr>
      </w:pPr>
      <w:r>
        <w:rPr>
          <w:sz w:val="22"/>
          <w:szCs w:val="22"/>
        </w:rPr>
        <w:t xml:space="preserve">Javna ustanova Lokalna razvojna agencija Požega osnovana je Odlukom o osnivanju Javne ustanove Lokalna razvojna agencija Požega, KLASA: 024-03/18-01/1; URBROJ: 2177/01-02/01-18-4 od 28. studenog 2018. godine, KLASA: 024-03/18-01/1, URBROJ: 2177/01-02/01-19-10 od 30. siječnja 2019. i KLASA: 021-01/19-01/10, URBROJ: 2177/01-02/01-19-3 od 25. rujna 2019. godine, kao javna ustanova temeljem Zakona o ustanovama (NN 76/93., 29/97. – ispravak, 47/99. – ispravak i 35/08. – ispravak 127/19.) i Zakona o regionalnom razvoju (NN 147/14., 123/17. i 118/18.). </w:t>
      </w:r>
    </w:p>
    <w:p w14:paraId="1100EDC1" w14:textId="77777777" w:rsidR="00893C84" w:rsidRDefault="00893C84" w:rsidP="00893C84">
      <w:pPr>
        <w:jc w:val="both"/>
        <w:rPr>
          <w:sz w:val="22"/>
          <w:szCs w:val="22"/>
        </w:rPr>
      </w:pPr>
    </w:p>
    <w:p w14:paraId="6BADB31E" w14:textId="77777777" w:rsidR="00893C84" w:rsidRDefault="00893C84" w:rsidP="00893C84">
      <w:pPr>
        <w:jc w:val="both"/>
        <w:rPr>
          <w:sz w:val="22"/>
          <w:szCs w:val="22"/>
        </w:rPr>
      </w:pPr>
      <w:r>
        <w:rPr>
          <w:sz w:val="22"/>
          <w:szCs w:val="22"/>
        </w:rPr>
        <w:tab/>
        <w:t xml:space="preserve">Rad Javne ustanove Lokalna razvojna agencija Požega definiran je obvezama iz Zakona o ustanovama, Zakona o regionalnom razvoju, podzakonskim aktima Zakona, Statutom Javne ustanove Lokalna razvojna agencija Požega i drugim općim aktima Ustanove. </w:t>
      </w:r>
    </w:p>
    <w:p w14:paraId="01BD73F9" w14:textId="77777777" w:rsidR="00893C84" w:rsidRDefault="00893C84" w:rsidP="00893C84">
      <w:pPr>
        <w:jc w:val="both"/>
        <w:rPr>
          <w:sz w:val="22"/>
          <w:szCs w:val="22"/>
        </w:rPr>
      </w:pPr>
    </w:p>
    <w:p w14:paraId="5C16C47D" w14:textId="77777777" w:rsidR="00893C84" w:rsidRDefault="00893C84" w:rsidP="00893C84">
      <w:pPr>
        <w:jc w:val="both"/>
        <w:rPr>
          <w:sz w:val="22"/>
          <w:szCs w:val="22"/>
        </w:rPr>
      </w:pPr>
      <w:r>
        <w:rPr>
          <w:sz w:val="22"/>
          <w:szCs w:val="22"/>
        </w:rPr>
        <w:tab/>
        <w:t xml:space="preserve">Javna ustanova Lokalna razvojna agencija Požega ima jednog osnivača i to Grad Požegu. </w:t>
      </w:r>
    </w:p>
    <w:p w14:paraId="707CCF9E" w14:textId="77777777" w:rsidR="00893C84" w:rsidRDefault="00893C84" w:rsidP="00893C84">
      <w:pPr>
        <w:jc w:val="both"/>
        <w:rPr>
          <w:sz w:val="22"/>
          <w:szCs w:val="22"/>
        </w:rPr>
      </w:pPr>
      <w:r>
        <w:rPr>
          <w:sz w:val="22"/>
          <w:szCs w:val="22"/>
        </w:rPr>
        <w:tab/>
      </w:r>
    </w:p>
    <w:p w14:paraId="7F35D9EE" w14:textId="77777777" w:rsidR="00893C84" w:rsidRDefault="00893C84" w:rsidP="00893C84">
      <w:pPr>
        <w:jc w:val="both"/>
        <w:rPr>
          <w:sz w:val="22"/>
          <w:szCs w:val="22"/>
        </w:rPr>
      </w:pPr>
      <w:r>
        <w:rPr>
          <w:sz w:val="22"/>
          <w:szCs w:val="22"/>
        </w:rPr>
        <w:tab/>
        <w:t>Financiranje Javne ustanove Lokalna razvojna agencija Požega provodi se sukladno članku 57. Zakona o ustanovama (NN 76/93., 29/97. – ispravak, 47/99. – ispravak i 35/08. – ispravak 127/19.)</w:t>
      </w:r>
      <w:r w:rsidR="00247641">
        <w:rPr>
          <w:sz w:val="22"/>
          <w:szCs w:val="22"/>
        </w:rPr>
        <w:t xml:space="preserve"> </w:t>
      </w:r>
      <w:r>
        <w:rPr>
          <w:sz w:val="22"/>
          <w:szCs w:val="22"/>
        </w:rPr>
        <w:t xml:space="preserve">iz financijskih sredstava osnivača ustanove. </w:t>
      </w:r>
    </w:p>
    <w:p w14:paraId="4FF67147" w14:textId="77777777" w:rsidR="00893C84" w:rsidRDefault="00893C84" w:rsidP="00893C84">
      <w:pPr>
        <w:jc w:val="both"/>
        <w:rPr>
          <w:sz w:val="22"/>
          <w:szCs w:val="22"/>
        </w:rPr>
      </w:pPr>
    </w:p>
    <w:p w14:paraId="3C648756" w14:textId="77777777" w:rsidR="00092CE0" w:rsidRDefault="00092CE0" w:rsidP="00092CE0">
      <w:pPr>
        <w:jc w:val="both"/>
        <w:rPr>
          <w:sz w:val="22"/>
          <w:szCs w:val="22"/>
        </w:rPr>
      </w:pPr>
    </w:p>
    <w:p w14:paraId="77A8C036" w14:textId="77777777" w:rsidR="007522AC" w:rsidRPr="00441977" w:rsidRDefault="007522AC" w:rsidP="007522AC">
      <w:pPr>
        <w:jc w:val="both"/>
        <w:rPr>
          <w:b/>
          <w:sz w:val="22"/>
          <w:szCs w:val="22"/>
        </w:rPr>
      </w:pPr>
      <w:r w:rsidRPr="00441977">
        <w:rPr>
          <w:b/>
          <w:sz w:val="22"/>
          <w:szCs w:val="22"/>
        </w:rPr>
        <w:t>BILJEŠKE UZ BILANCU</w:t>
      </w:r>
    </w:p>
    <w:p w14:paraId="1FE2CCE2" w14:textId="77777777" w:rsidR="007522AC" w:rsidRPr="00441977" w:rsidRDefault="007522AC" w:rsidP="007522AC">
      <w:pPr>
        <w:jc w:val="both"/>
        <w:rPr>
          <w:b/>
          <w:sz w:val="22"/>
          <w:szCs w:val="22"/>
        </w:rPr>
      </w:pPr>
    </w:p>
    <w:p w14:paraId="5ADAB7EB" w14:textId="77777777" w:rsidR="007522AC" w:rsidRPr="00441977" w:rsidRDefault="007522AC" w:rsidP="007522AC">
      <w:pPr>
        <w:jc w:val="both"/>
        <w:rPr>
          <w:sz w:val="22"/>
          <w:szCs w:val="22"/>
        </w:rPr>
      </w:pPr>
      <w:r w:rsidRPr="00441977">
        <w:rPr>
          <w:sz w:val="22"/>
          <w:szCs w:val="22"/>
        </w:rPr>
        <w:t>1. AOP 0</w:t>
      </w:r>
      <w:r w:rsidR="008343A4" w:rsidRPr="00441977">
        <w:rPr>
          <w:sz w:val="22"/>
          <w:szCs w:val="22"/>
        </w:rPr>
        <w:t>0</w:t>
      </w:r>
      <w:r w:rsidR="00FC57F9">
        <w:rPr>
          <w:sz w:val="22"/>
          <w:szCs w:val="22"/>
        </w:rPr>
        <w:t>2</w:t>
      </w:r>
      <w:r w:rsidRPr="00441977">
        <w:rPr>
          <w:sz w:val="22"/>
          <w:szCs w:val="22"/>
        </w:rPr>
        <w:t xml:space="preserve"> – </w:t>
      </w:r>
      <w:r w:rsidR="00FC57F9">
        <w:rPr>
          <w:sz w:val="22"/>
          <w:szCs w:val="22"/>
        </w:rPr>
        <w:t>Nefinancijska i</w:t>
      </w:r>
      <w:r w:rsidR="008343A4" w:rsidRPr="00441977">
        <w:rPr>
          <w:sz w:val="22"/>
          <w:szCs w:val="22"/>
        </w:rPr>
        <w:t>movina</w:t>
      </w:r>
      <w:r w:rsidR="004070A7" w:rsidRPr="00441977">
        <w:rPr>
          <w:sz w:val="22"/>
          <w:szCs w:val="22"/>
        </w:rPr>
        <w:t xml:space="preserve"> </w:t>
      </w:r>
      <w:r w:rsidR="004B5102" w:rsidRPr="00441977">
        <w:rPr>
          <w:sz w:val="22"/>
          <w:szCs w:val="22"/>
        </w:rPr>
        <w:t xml:space="preserve">– </w:t>
      </w:r>
      <w:r w:rsidR="00FC57F9">
        <w:rPr>
          <w:sz w:val="22"/>
          <w:szCs w:val="22"/>
        </w:rPr>
        <w:t>smanjila</w:t>
      </w:r>
      <w:r w:rsidR="008343A4" w:rsidRPr="00441977">
        <w:rPr>
          <w:sz w:val="22"/>
          <w:szCs w:val="22"/>
        </w:rPr>
        <w:t xml:space="preserve"> se u odnosu na prethodno razdoblje </w:t>
      </w:r>
      <w:r w:rsidR="00FC57F9">
        <w:rPr>
          <w:sz w:val="22"/>
          <w:szCs w:val="22"/>
        </w:rPr>
        <w:t>jer nije bilo nabave dugotrajne imovine.</w:t>
      </w:r>
    </w:p>
    <w:p w14:paraId="13CE8698" w14:textId="77777777" w:rsidR="004070A7" w:rsidRPr="00441977" w:rsidRDefault="004070A7" w:rsidP="007522AC">
      <w:pPr>
        <w:jc w:val="both"/>
        <w:rPr>
          <w:sz w:val="22"/>
          <w:szCs w:val="22"/>
        </w:rPr>
      </w:pPr>
      <w:r w:rsidRPr="00441977">
        <w:rPr>
          <w:sz w:val="22"/>
          <w:szCs w:val="22"/>
        </w:rPr>
        <w:t xml:space="preserve">2. AOP 049 – Sitni inventar u upotrebi – </w:t>
      </w:r>
      <w:r w:rsidR="008343A4" w:rsidRPr="00441977">
        <w:rPr>
          <w:sz w:val="22"/>
          <w:szCs w:val="22"/>
        </w:rPr>
        <w:t xml:space="preserve">povećao se u odnosu na prethodno razdoblje zbog </w:t>
      </w:r>
      <w:r w:rsidR="00FC57F9">
        <w:rPr>
          <w:sz w:val="22"/>
          <w:szCs w:val="22"/>
        </w:rPr>
        <w:t>nabave</w:t>
      </w:r>
      <w:r w:rsidR="008343A4" w:rsidRPr="00441977">
        <w:rPr>
          <w:sz w:val="22"/>
          <w:szCs w:val="22"/>
        </w:rPr>
        <w:t xml:space="preserve"> sitnog inventara u vrijednosti 1.500 </w:t>
      </w:r>
      <w:r w:rsidRPr="00441977">
        <w:rPr>
          <w:sz w:val="22"/>
          <w:szCs w:val="22"/>
        </w:rPr>
        <w:t>kn.</w:t>
      </w:r>
    </w:p>
    <w:p w14:paraId="750E2EFC" w14:textId="77777777" w:rsidR="008343A4" w:rsidRPr="00441977" w:rsidRDefault="008343A4" w:rsidP="007522AC">
      <w:pPr>
        <w:jc w:val="both"/>
        <w:rPr>
          <w:sz w:val="22"/>
          <w:szCs w:val="22"/>
        </w:rPr>
      </w:pPr>
      <w:r w:rsidRPr="00441977">
        <w:rPr>
          <w:sz w:val="22"/>
          <w:szCs w:val="22"/>
        </w:rPr>
        <w:t xml:space="preserve">3. AOP 155 </w:t>
      </w:r>
      <w:r w:rsidR="0084517C" w:rsidRPr="00441977">
        <w:rPr>
          <w:sz w:val="22"/>
          <w:szCs w:val="22"/>
        </w:rPr>
        <w:t>–</w:t>
      </w:r>
      <w:r w:rsidRPr="00441977">
        <w:rPr>
          <w:sz w:val="22"/>
          <w:szCs w:val="22"/>
        </w:rPr>
        <w:t xml:space="preserve"> </w:t>
      </w:r>
      <w:r w:rsidR="0084517C" w:rsidRPr="00441977">
        <w:rPr>
          <w:sz w:val="22"/>
          <w:szCs w:val="22"/>
        </w:rPr>
        <w:t xml:space="preserve">Potraživanja za prihode od prodaje proizvoda i robe </w:t>
      </w:r>
      <w:r w:rsidR="008B60D9">
        <w:rPr>
          <w:sz w:val="22"/>
          <w:szCs w:val="22"/>
        </w:rPr>
        <w:t xml:space="preserve">te pruženih usluga </w:t>
      </w:r>
      <w:r w:rsidR="0084517C" w:rsidRPr="00441977">
        <w:rPr>
          <w:sz w:val="22"/>
          <w:szCs w:val="22"/>
        </w:rPr>
        <w:t>iznose 12.062 kn</w:t>
      </w:r>
      <w:r w:rsidR="008B60D9">
        <w:rPr>
          <w:sz w:val="22"/>
          <w:szCs w:val="22"/>
        </w:rPr>
        <w:t xml:space="preserve">, </w:t>
      </w:r>
      <w:r w:rsidR="0084517C" w:rsidRPr="00441977">
        <w:rPr>
          <w:sz w:val="22"/>
          <w:szCs w:val="22"/>
        </w:rPr>
        <w:t xml:space="preserve"> a odnose se na neplaćene izlazne račune.</w:t>
      </w:r>
    </w:p>
    <w:p w14:paraId="3C2D7B79" w14:textId="77777777" w:rsidR="007522AC" w:rsidRPr="00441977" w:rsidRDefault="008343A4" w:rsidP="007522AC">
      <w:pPr>
        <w:jc w:val="both"/>
        <w:rPr>
          <w:sz w:val="22"/>
          <w:szCs w:val="22"/>
        </w:rPr>
      </w:pPr>
      <w:r w:rsidRPr="00441977">
        <w:rPr>
          <w:sz w:val="22"/>
          <w:szCs w:val="22"/>
        </w:rPr>
        <w:t>4</w:t>
      </w:r>
      <w:r w:rsidR="007522AC" w:rsidRPr="00441977">
        <w:rPr>
          <w:sz w:val="22"/>
          <w:szCs w:val="22"/>
        </w:rPr>
        <w:t>. AOP</w:t>
      </w:r>
      <w:r w:rsidRPr="00441977">
        <w:rPr>
          <w:sz w:val="22"/>
          <w:szCs w:val="22"/>
        </w:rPr>
        <w:t xml:space="preserve"> </w:t>
      </w:r>
      <w:r w:rsidR="007522AC" w:rsidRPr="00441977">
        <w:rPr>
          <w:sz w:val="22"/>
          <w:szCs w:val="22"/>
        </w:rPr>
        <w:t>15</w:t>
      </w:r>
      <w:r w:rsidRPr="00441977">
        <w:rPr>
          <w:sz w:val="22"/>
          <w:szCs w:val="22"/>
        </w:rPr>
        <w:t>6</w:t>
      </w:r>
      <w:r w:rsidR="007522AC" w:rsidRPr="00441977">
        <w:rPr>
          <w:sz w:val="22"/>
          <w:szCs w:val="22"/>
        </w:rPr>
        <w:t xml:space="preserve"> – Korisnik posluje preko lokalne riznice. Na jedinstveni račun riznice uplaćuju se svi prihodi i primici proračunskog korisnika. Isplata plaća kao i isplata tekućih i kapitalnih rashoda obavlja se preko riznice što je evidentirano na računu 167210. Stanje računa 31. prosinca iznosi </w:t>
      </w:r>
      <w:r w:rsidRPr="00441977">
        <w:rPr>
          <w:sz w:val="22"/>
          <w:szCs w:val="22"/>
        </w:rPr>
        <w:t>47.232</w:t>
      </w:r>
      <w:r w:rsidR="007522AC" w:rsidRPr="00441977">
        <w:rPr>
          <w:sz w:val="22"/>
          <w:szCs w:val="22"/>
        </w:rPr>
        <w:t xml:space="preserve"> kn.</w:t>
      </w:r>
    </w:p>
    <w:p w14:paraId="37E6A999" w14:textId="77777777" w:rsidR="007522AC" w:rsidRPr="00441977" w:rsidRDefault="0084517C" w:rsidP="007522AC">
      <w:pPr>
        <w:jc w:val="both"/>
        <w:rPr>
          <w:sz w:val="22"/>
          <w:szCs w:val="22"/>
        </w:rPr>
      </w:pPr>
      <w:r w:rsidRPr="00441977">
        <w:rPr>
          <w:sz w:val="22"/>
          <w:szCs w:val="22"/>
        </w:rPr>
        <w:t>5</w:t>
      </w:r>
      <w:r w:rsidR="007522AC" w:rsidRPr="00441977">
        <w:rPr>
          <w:sz w:val="22"/>
          <w:szCs w:val="22"/>
        </w:rPr>
        <w:t>. AOP 16</w:t>
      </w:r>
      <w:r w:rsidRPr="00441977">
        <w:rPr>
          <w:sz w:val="22"/>
          <w:szCs w:val="22"/>
        </w:rPr>
        <w:t>8</w:t>
      </w:r>
      <w:r w:rsidR="00B52B8A" w:rsidRPr="00441977">
        <w:rPr>
          <w:sz w:val="22"/>
          <w:szCs w:val="22"/>
        </w:rPr>
        <w:t xml:space="preserve"> Kontinuirani rashodi budućih rashoda – odnosi se na plaću za 12. mjesec</w:t>
      </w:r>
      <w:r w:rsidR="00356DCE" w:rsidRPr="00441977">
        <w:rPr>
          <w:sz w:val="22"/>
          <w:szCs w:val="22"/>
        </w:rPr>
        <w:t xml:space="preserve"> i iznose </w:t>
      </w:r>
      <w:r w:rsidRPr="00441977">
        <w:rPr>
          <w:sz w:val="22"/>
          <w:szCs w:val="22"/>
        </w:rPr>
        <w:t>57.747</w:t>
      </w:r>
      <w:r w:rsidR="00356DCE" w:rsidRPr="00441977">
        <w:rPr>
          <w:sz w:val="22"/>
          <w:szCs w:val="22"/>
        </w:rPr>
        <w:t xml:space="preserve"> kn.</w:t>
      </w:r>
    </w:p>
    <w:p w14:paraId="270527DA" w14:textId="77777777" w:rsidR="008B1FD3" w:rsidRDefault="0084517C" w:rsidP="007522AC">
      <w:pPr>
        <w:jc w:val="both"/>
        <w:rPr>
          <w:sz w:val="22"/>
          <w:szCs w:val="22"/>
        </w:rPr>
      </w:pPr>
      <w:r w:rsidRPr="00441977">
        <w:rPr>
          <w:sz w:val="22"/>
          <w:szCs w:val="22"/>
        </w:rPr>
        <w:t>6</w:t>
      </w:r>
      <w:r w:rsidR="004B5102" w:rsidRPr="00441977">
        <w:rPr>
          <w:sz w:val="22"/>
          <w:szCs w:val="22"/>
        </w:rPr>
        <w:t xml:space="preserve">. AOP </w:t>
      </w:r>
      <w:r w:rsidR="00B52B8A" w:rsidRPr="00441977">
        <w:rPr>
          <w:sz w:val="22"/>
          <w:szCs w:val="22"/>
        </w:rPr>
        <w:t>1</w:t>
      </w:r>
      <w:r w:rsidR="00356DCE" w:rsidRPr="00441977">
        <w:rPr>
          <w:sz w:val="22"/>
          <w:szCs w:val="22"/>
        </w:rPr>
        <w:t>7</w:t>
      </w:r>
      <w:r w:rsidR="00441977" w:rsidRPr="00441977">
        <w:rPr>
          <w:sz w:val="22"/>
          <w:szCs w:val="22"/>
        </w:rPr>
        <w:t>1</w:t>
      </w:r>
      <w:r w:rsidR="00B52B8A" w:rsidRPr="00441977">
        <w:rPr>
          <w:sz w:val="22"/>
          <w:szCs w:val="22"/>
        </w:rPr>
        <w:t xml:space="preserve"> Obveze za rashode poslovanja –</w:t>
      </w:r>
      <w:r w:rsidR="008B60D9">
        <w:rPr>
          <w:sz w:val="22"/>
          <w:szCs w:val="22"/>
        </w:rPr>
        <w:t xml:space="preserve"> veće su u odnosu na prethodno razdoblje, a</w:t>
      </w:r>
      <w:r w:rsidR="00B52B8A" w:rsidRPr="00441977">
        <w:rPr>
          <w:sz w:val="22"/>
          <w:szCs w:val="22"/>
        </w:rPr>
        <w:t xml:space="preserve"> odnos</w:t>
      </w:r>
      <w:r w:rsidR="008B60D9">
        <w:rPr>
          <w:sz w:val="22"/>
          <w:szCs w:val="22"/>
        </w:rPr>
        <w:t>e</w:t>
      </w:r>
      <w:r w:rsidR="00B52B8A" w:rsidRPr="00441977">
        <w:rPr>
          <w:sz w:val="22"/>
          <w:szCs w:val="22"/>
        </w:rPr>
        <w:t xml:space="preserve"> se na plaću za 12. mjesec</w:t>
      </w:r>
      <w:r w:rsidR="00356DCE" w:rsidRPr="00441977">
        <w:rPr>
          <w:sz w:val="22"/>
          <w:szCs w:val="22"/>
        </w:rPr>
        <w:t xml:space="preserve">, </w:t>
      </w:r>
      <w:r w:rsidR="008B60D9">
        <w:rPr>
          <w:sz w:val="22"/>
          <w:szCs w:val="22"/>
        </w:rPr>
        <w:t xml:space="preserve">neplaćene </w:t>
      </w:r>
      <w:r w:rsidR="00B52B8A" w:rsidRPr="00441977">
        <w:rPr>
          <w:sz w:val="22"/>
          <w:szCs w:val="22"/>
        </w:rPr>
        <w:t>račune iz 12. mjeseca</w:t>
      </w:r>
      <w:r w:rsidR="00356DCE" w:rsidRPr="00441977">
        <w:rPr>
          <w:sz w:val="22"/>
          <w:szCs w:val="22"/>
        </w:rPr>
        <w:t>, te ostale tekuće obveze</w:t>
      </w:r>
      <w:r w:rsidR="008B1FD3">
        <w:rPr>
          <w:sz w:val="22"/>
          <w:szCs w:val="22"/>
        </w:rPr>
        <w:t>.</w:t>
      </w:r>
      <w:r w:rsidR="008B60D9">
        <w:rPr>
          <w:sz w:val="22"/>
          <w:szCs w:val="22"/>
        </w:rPr>
        <w:t xml:space="preserve"> </w:t>
      </w:r>
    </w:p>
    <w:p w14:paraId="0BD6A4CC" w14:textId="77777777" w:rsidR="004B5102" w:rsidRPr="00441977" w:rsidRDefault="008B1FD3" w:rsidP="007522AC">
      <w:pPr>
        <w:jc w:val="both"/>
        <w:rPr>
          <w:sz w:val="22"/>
          <w:szCs w:val="22"/>
        </w:rPr>
      </w:pPr>
      <w:r>
        <w:rPr>
          <w:sz w:val="22"/>
          <w:szCs w:val="22"/>
        </w:rPr>
        <w:t xml:space="preserve">7. </w:t>
      </w:r>
      <w:r w:rsidR="008B60D9">
        <w:rPr>
          <w:sz w:val="22"/>
          <w:szCs w:val="22"/>
        </w:rPr>
        <w:t>AOP (182)</w:t>
      </w:r>
      <w:r>
        <w:rPr>
          <w:sz w:val="22"/>
          <w:szCs w:val="22"/>
        </w:rPr>
        <w:t xml:space="preserve"> Ostale tekuće obveze su veće u odnosu na prethodno razdoblje. Razlog tome je manjak iz izvora pomoći za projekt Otkrivanje ruralne baštine. Naime, tokom 2021. godine LORA je bila dužna evidentirati rashode iz izvora pomoći radi ispravnog vođenja projekta, </w:t>
      </w:r>
      <w:r w:rsidR="00234D92">
        <w:rPr>
          <w:sz w:val="22"/>
          <w:szCs w:val="22"/>
        </w:rPr>
        <w:t>a prihod nije ostvaren tijekom 2021.godine, stoga je manjak iz izvora pomoći evidentiran na kontu 239580.</w:t>
      </w:r>
    </w:p>
    <w:p w14:paraId="447CEE57" w14:textId="77777777" w:rsidR="007522AC" w:rsidRPr="00441977" w:rsidRDefault="008B1FD3" w:rsidP="007522AC">
      <w:pPr>
        <w:jc w:val="both"/>
        <w:rPr>
          <w:sz w:val="22"/>
          <w:szCs w:val="22"/>
        </w:rPr>
      </w:pPr>
      <w:r>
        <w:rPr>
          <w:sz w:val="22"/>
          <w:szCs w:val="22"/>
        </w:rPr>
        <w:t>8</w:t>
      </w:r>
      <w:r w:rsidR="007522AC" w:rsidRPr="00441977">
        <w:rPr>
          <w:sz w:val="22"/>
          <w:szCs w:val="22"/>
        </w:rPr>
        <w:t xml:space="preserve">. </w:t>
      </w:r>
      <w:r w:rsidR="00B52B8A" w:rsidRPr="00441977">
        <w:rPr>
          <w:sz w:val="22"/>
          <w:szCs w:val="22"/>
        </w:rPr>
        <w:t xml:space="preserve">LORA </w:t>
      </w:r>
      <w:r w:rsidR="007522AC" w:rsidRPr="00441977">
        <w:rPr>
          <w:sz w:val="22"/>
          <w:szCs w:val="22"/>
        </w:rPr>
        <w:t>nema sudskih sporova u tijeku i nema potraživanja za koja je potrebno napraviti ispravak vrijednosti potraživanja.</w:t>
      </w:r>
    </w:p>
    <w:p w14:paraId="07D05D58" w14:textId="77777777" w:rsidR="000E09FC" w:rsidRPr="00441977" w:rsidRDefault="000E09FC" w:rsidP="007522AC">
      <w:pPr>
        <w:jc w:val="both"/>
        <w:rPr>
          <w:sz w:val="22"/>
          <w:szCs w:val="22"/>
        </w:rPr>
      </w:pPr>
    </w:p>
    <w:p w14:paraId="5F99B55C" w14:textId="77777777" w:rsidR="000E09FC" w:rsidRDefault="000E09FC" w:rsidP="007522AC">
      <w:pPr>
        <w:jc w:val="both"/>
        <w:rPr>
          <w:sz w:val="22"/>
          <w:szCs w:val="22"/>
        </w:rPr>
      </w:pPr>
    </w:p>
    <w:p w14:paraId="26CF73B3" w14:textId="77777777" w:rsidR="001F538E" w:rsidRDefault="001F538E" w:rsidP="00092CE0">
      <w:pPr>
        <w:jc w:val="both"/>
        <w:rPr>
          <w:sz w:val="22"/>
          <w:szCs w:val="22"/>
        </w:rPr>
      </w:pPr>
    </w:p>
    <w:p w14:paraId="7F96555E" w14:textId="77777777" w:rsidR="001F538E" w:rsidRPr="00092CE0" w:rsidRDefault="001F538E" w:rsidP="00092CE0">
      <w:pPr>
        <w:jc w:val="both"/>
        <w:rPr>
          <w:sz w:val="22"/>
          <w:szCs w:val="22"/>
        </w:rPr>
      </w:pPr>
    </w:p>
    <w:p w14:paraId="4555F1F5" w14:textId="77777777" w:rsidR="00493569" w:rsidRPr="00A67E9E" w:rsidRDefault="00493569" w:rsidP="00493569">
      <w:pPr>
        <w:jc w:val="both"/>
        <w:rPr>
          <w:b/>
          <w:sz w:val="22"/>
          <w:szCs w:val="22"/>
        </w:rPr>
      </w:pPr>
      <w:r w:rsidRPr="00A67E9E">
        <w:rPr>
          <w:b/>
          <w:sz w:val="22"/>
          <w:szCs w:val="22"/>
        </w:rPr>
        <w:lastRenderedPageBreak/>
        <w:t>BILJEŠKE UZ PR-RAS</w:t>
      </w:r>
    </w:p>
    <w:p w14:paraId="0D3012C2" w14:textId="77777777" w:rsidR="00C53721" w:rsidRPr="00A67E9E" w:rsidRDefault="00C53721" w:rsidP="00493569">
      <w:pPr>
        <w:jc w:val="both"/>
        <w:rPr>
          <w:b/>
          <w:sz w:val="22"/>
          <w:szCs w:val="22"/>
        </w:rPr>
      </w:pPr>
    </w:p>
    <w:p w14:paraId="084C4C49" w14:textId="77777777" w:rsidR="00493569" w:rsidRPr="00A67E9E" w:rsidRDefault="00C53721" w:rsidP="00493569">
      <w:pPr>
        <w:jc w:val="both"/>
        <w:rPr>
          <w:sz w:val="22"/>
          <w:szCs w:val="22"/>
        </w:rPr>
      </w:pPr>
      <w:r w:rsidRPr="00A67E9E">
        <w:rPr>
          <w:sz w:val="22"/>
          <w:szCs w:val="22"/>
        </w:rPr>
        <w:t>1. AOP 050 – Tekuće pomoći od međunarodnih organizacija odnose se na pomoći za projekt Otkrivanje ruralne baštine i iznose 37.942 kn.</w:t>
      </w:r>
    </w:p>
    <w:p w14:paraId="72173BA6" w14:textId="77777777" w:rsidR="00893C84" w:rsidRPr="00A67E9E" w:rsidRDefault="00C53721" w:rsidP="00893C84">
      <w:pPr>
        <w:jc w:val="both"/>
        <w:rPr>
          <w:sz w:val="22"/>
          <w:szCs w:val="22"/>
        </w:rPr>
      </w:pPr>
      <w:r w:rsidRPr="00A67E9E">
        <w:rPr>
          <w:sz w:val="22"/>
          <w:szCs w:val="22"/>
        </w:rPr>
        <w:t>2</w:t>
      </w:r>
      <w:r w:rsidR="00893C84" w:rsidRPr="00A67E9E">
        <w:rPr>
          <w:sz w:val="22"/>
          <w:szCs w:val="22"/>
        </w:rPr>
        <w:t>. AOP 12</w:t>
      </w:r>
      <w:r w:rsidRPr="00A67E9E">
        <w:rPr>
          <w:sz w:val="22"/>
          <w:szCs w:val="22"/>
        </w:rPr>
        <w:t>2</w:t>
      </w:r>
      <w:r w:rsidR="00893C84" w:rsidRPr="00A67E9E">
        <w:rPr>
          <w:sz w:val="22"/>
          <w:szCs w:val="22"/>
        </w:rPr>
        <w:t xml:space="preserve"> – Prihodi od pruženih usluga – prihod se odnosi na prihod od zakupa poslovnog prostora, prefakturiranja režijskih troškova te iznos</w:t>
      </w:r>
      <w:r w:rsidRPr="00A67E9E">
        <w:rPr>
          <w:sz w:val="22"/>
          <w:szCs w:val="22"/>
        </w:rPr>
        <w:t>e</w:t>
      </w:r>
      <w:r w:rsidR="00893C84" w:rsidRPr="00A67E9E">
        <w:rPr>
          <w:sz w:val="22"/>
          <w:szCs w:val="22"/>
        </w:rPr>
        <w:t xml:space="preserve"> </w:t>
      </w:r>
      <w:r w:rsidRPr="00A67E9E">
        <w:rPr>
          <w:sz w:val="22"/>
          <w:szCs w:val="22"/>
        </w:rPr>
        <w:t>89.000</w:t>
      </w:r>
      <w:r w:rsidR="00893C84" w:rsidRPr="00A67E9E">
        <w:rPr>
          <w:sz w:val="22"/>
          <w:szCs w:val="22"/>
        </w:rPr>
        <w:t xml:space="preserve"> kn.</w:t>
      </w:r>
    </w:p>
    <w:p w14:paraId="005832D0" w14:textId="77777777" w:rsidR="000807D7" w:rsidRPr="00A67E9E" w:rsidRDefault="00C53721" w:rsidP="00493569">
      <w:pPr>
        <w:jc w:val="both"/>
        <w:rPr>
          <w:sz w:val="22"/>
          <w:szCs w:val="22"/>
        </w:rPr>
      </w:pPr>
      <w:r w:rsidRPr="00A67E9E">
        <w:rPr>
          <w:sz w:val="22"/>
          <w:szCs w:val="22"/>
        </w:rPr>
        <w:t>3</w:t>
      </w:r>
      <w:r w:rsidR="00634680" w:rsidRPr="00A67E9E">
        <w:rPr>
          <w:sz w:val="22"/>
          <w:szCs w:val="22"/>
        </w:rPr>
        <w:t>. AOP 1</w:t>
      </w:r>
      <w:r w:rsidR="00A67E9E" w:rsidRPr="00A67E9E">
        <w:rPr>
          <w:sz w:val="22"/>
          <w:szCs w:val="22"/>
        </w:rPr>
        <w:t>29</w:t>
      </w:r>
      <w:r w:rsidR="00634680" w:rsidRPr="00A67E9E">
        <w:rPr>
          <w:sz w:val="22"/>
          <w:szCs w:val="22"/>
        </w:rPr>
        <w:t xml:space="preserve"> – </w:t>
      </w:r>
      <w:r w:rsidR="000807D7" w:rsidRPr="00A67E9E">
        <w:rPr>
          <w:sz w:val="22"/>
          <w:szCs w:val="22"/>
        </w:rPr>
        <w:t>Prihodi iz nadležnog proračuna za financiranje redovne djelatnosti proračunskih korisnika – LORA se u najvećem dijelu financira iz prihoda osnivača odnosno Grada Požege</w:t>
      </w:r>
      <w:r w:rsidR="007C1F32" w:rsidRPr="00A67E9E">
        <w:rPr>
          <w:sz w:val="22"/>
          <w:szCs w:val="22"/>
        </w:rPr>
        <w:t xml:space="preserve"> te iznose </w:t>
      </w:r>
      <w:r w:rsidR="00A67E9E" w:rsidRPr="00A67E9E">
        <w:rPr>
          <w:sz w:val="22"/>
          <w:szCs w:val="22"/>
        </w:rPr>
        <w:t>890.392</w:t>
      </w:r>
      <w:r w:rsidR="007C1F32" w:rsidRPr="00A67E9E">
        <w:rPr>
          <w:sz w:val="22"/>
          <w:szCs w:val="22"/>
        </w:rPr>
        <w:t xml:space="preserve"> kn.</w:t>
      </w:r>
    </w:p>
    <w:p w14:paraId="52A2116E" w14:textId="77777777" w:rsidR="00634680" w:rsidRPr="001602C3" w:rsidRDefault="00A67E9E" w:rsidP="00493569">
      <w:pPr>
        <w:jc w:val="both"/>
        <w:rPr>
          <w:sz w:val="22"/>
          <w:szCs w:val="22"/>
        </w:rPr>
      </w:pPr>
      <w:r w:rsidRPr="001602C3">
        <w:rPr>
          <w:sz w:val="22"/>
          <w:szCs w:val="22"/>
        </w:rPr>
        <w:t>4</w:t>
      </w:r>
      <w:r w:rsidR="000807D7" w:rsidRPr="001602C3">
        <w:rPr>
          <w:sz w:val="22"/>
          <w:szCs w:val="22"/>
        </w:rPr>
        <w:t xml:space="preserve">. </w:t>
      </w:r>
      <w:r w:rsidR="00493569" w:rsidRPr="001602C3">
        <w:rPr>
          <w:sz w:val="22"/>
          <w:szCs w:val="22"/>
        </w:rPr>
        <w:t>AOP 14</w:t>
      </w:r>
      <w:r w:rsidR="001602C3" w:rsidRPr="001602C3">
        <w:rPr>
          <w:sz w:val="22"/>
          <w:szCs w:val="22"/>
        </w:rPr>
        <w:t>7</w:t>
      </w:r>
      <w:r w:rsidR="00493569" w:rsidRPr="001602C3">
        <w:rPr>
          <w:sz w:val="22"/>
          <w:szCs w:val="22"/>
        </w:rPr>
        <w:t xml:space="preserve"> – Rashodi za zaposlene – </w:t>
      </w:r>
      <w:r w:rsidR="000807D7" w:rsidRPr="001602C3">
        <w:rPr>
          <w:sz w:val="22"/>
          <w:szCs w:val="22"/>
        </w:rPr>
        <w:t xml:space="preserve">odnose se na plaće </w:t>
      </w:r>
      <w:r w:rsidR="007C1F32" w:rsidRPr="001602C3">
        <w:rPr>
          <w:sz w:val="22"/>
          <w:szCs w:val="22"/>
        </w:rPr>
        <w:t xml:space="preserve">te iznose </w:t>
      </w:r>
      <w:r w:rsidR="001602C3" w:rsidRPr="001602C3">
        <w:rPr>
          <w:sz w:val="22"/>
          <w:szCs w:val="22"/>
        </w:rPr>
        <w:t>730.877</w:t>
      </w:r>
      <w:r w:rsidR="007C1F32" w:rsidRPr="001602C3">
        <w:rPr>
          <w:sz w:val="22"/>
          <w:szCs w:val="22"/>
        </w:rPr>
        <w:t xml:space="preserve"> kn</w:t>
      </w:r>
      <w:r w:rsidR="001602C3" w:rsidRPr="001602C3">
        <w:rPr>
          <w:sz w:val="22"/>
          <w:szCs w:val="22"/>
        </w:rPr>
        <w:t>, manje u odnosu na prethodnu godinu zbog djelatnice na porodiljnom dopustu.</w:t>
      </w:r>
    </w:p>
    <w:p w14:paraId="2E8387D3" w14:textId="77777777" w:rsidR="00493569" w:rsidRDefault="001602C3" w:rsidP="00493569">
      <w:pPr>
        <w:jc w:val="both"/>
        <w:rPr>
          <w:sz w:val="22"/>
          <w:szCs w:val="22"/>
        </w:rPr>
      </w:pPr>
      <w:r w:rsidRPr="001602C3">
        <w:rPr>
          <w:sz w:val="22"/>
          <w:szCs w:val="22"/>
        </w:rPr>
        <w:t>5</w:t>
      </w:r>
      <w:r w:rsidR="00493569" w:rsidRPr="001602C3">
        <w:rPr>
          <w:sz w:val="22"/>
          <w:szCs w:val="22"/>
        </w:rPr>
        <w:t>. AOP 1</w:t>
      </w:r>
      <w:r w:rsidRPr="001602C3">
        <w:rPr>
          <w:sz w:val="22"/>
          <w:szCs w:val="22"/>
        </w:rPr>
        <w:t>58</w:t>
      </w:r>
      <w:r w:rsidR="00493569" w:rsidRPr="001602C3">
        <w:rPr>
          <w:sz w:val="22"/>
          <w:szCs w:val="22"/>
        </w:rPr>
        <w:t xml:space="preserve"> – </w:t>
      </w:r>
      <w:r w:rsidR="000807D7" w:rsidRPr="001602C3">
        <w:rPr>
          <w:sz w:val="22"/>
          <w:szCs w:val="22"/>
        </w:rPr>
        <w:t>Materijalni rashodi – odnosi se na režijske troškove te ostale troškove koji su nastali redovnim djelovanjem ustanove</w:t>
      </w:r>
      <w:r w:rsidR="007C1F32" w:rsidRPr="001602C3">
        <w:rPr>
          <w:sz w:val="22"/>
          <w:szCs w:val="22"/>
        </w:rPr>
        <w:t>.</w:t>
      </w:r>
    </w:p>
    <w:p w14:paraId="06FE69DF" w14:textId="77777777" w:rsidR="001602C3" w:rsidRDefault="001602C3" w:rsidP="00493569">
      <w:pPr>
        <w:jc w:val="both"/>
        <w:rPr>
          <w:sz w:val="22"/>
          <w:szCs w:val="22"/>
        </w:rPr>
      </w:pPr>
      <w:r>
        <w:rPr>
          <w:sz w:val="22"/>
          <w:szCs w:val="22"/>
        </w:rPr>
        <w:t>6. AOP 179</w:t>
      </w:r>
      <w:r w:rsidR="008F163F">
        <w:rPr>
          <w:sz w:val="22"/>
          <w:szCs w:val="22"/>
        </w:rPr>
        <w:t xml:space="preserve"> Intelektualne i osobne usluge veće su u odnosu na prethodno razdoblje zbog rashoda koji su nastali u projektu Otkrivanje ruralne baštine.</w:t>
      </w:r>
    </w:p>
    <w:p w14:paraId="693036AC" w14:textId="77777777" w:rsidR="008F163F" w:rsidRPr="001602C3" w:rsidRDefault="008F163F" w:rsidP="00493569">
      <w:pPr>
        <w:jc w:val="both"/>
        <w:rPr>
          <w:sz w:val="22"/>
          <w:szCs w:val="22"/>
        </w:rPr>
      </w:pPr>
      <w:r>
        <w:rPr>
          <w:sz w:val="22"/>
          <w:szCs w:val="22"/>
        </w:rPr>
        <w:t>7. AOP 181 Ostale usluge veće su u odnosu na prethodno razdoblje, i odnose se na usluge čišćenja.</w:t>
      </w:r>
    </w:p>
    <w:p w14:paraId="79AE5A32" w14:textId="77777777" w:rsidR="00493569" w:rsidRPr="00D20D2D" w:rsidRDefault="001A458A" w:rsidP="00493569">
      <w:pPr>
        <w:jc w:val="both"/>
        <w:rPr>
          <w:sz w:val="22"/>
          <w:szCs w:val="22"/>
        </w:rPr>
      </w:pPr>
      <w:r w:rsidRPr="00D20D2D">
        <w:rPr>
          <w:sz w:val="22"/>
          <w:szCs w:val="22"/>
        </w:rPr>
        <w:t>8</w:t>
      </w:r>
      <w:r w:rsidR="00493569" w:rsidRPr="00D20D2D">
        <w:rPr>
          <w:sz w:val="22"/>
          <w:szCs w:val="22"/>
        </w:rPr>
        <w:t>. AOP 6</w:t>
      </w:r>
      <w:r w:rsidRPr="00D20D2D">
        <w:rPr>
          <w:sz w:val="22"/>
          <w:szCs w:val="22"/>
        </w:rPr>
        <w:t>32</w:t>
      </w:r>
      <w:r w:rsidR="00493569" w:rsidRPr="00D20D2D">
        <w:rPr>
          <w:sz w:val="22"/>
          <w:szCs w:val="22"/>
        </w:rPr>
        <w:t xml:space="preserve"> do 63</w:t>
      </w:r>
      <w:r w:rsidRPr="00D20D2D">
        <w:rPr>
          <w:sz w:val="22"/>
          <w:szCs w:val="22"/>
        </w:rPr>
        <w:t>9</w:t>
      </w:r>
      <w:r w:rsidR="00493569" w:rsidRPr="00D20D2D">
        <w:rPr>
          <w:sz w:val="22"/>
          <w:szCs w:val="22"/>
        </w:rPr>
        <w:t xml:space="preserve"> – </w:t>
      </w:r>
      <w:r w:rsidR="000807D7" w:rsidRPr="00D20D2D">
        <w:rPr>
          <w:sz w:val="22"/>
          <w:szCs w:val="22"/>
        </w:rPr>
        <w:t>ukupni prihodi</w:t>
      </w:r>
      <w:r w:rsidR="007C1F32" w:rsidRPr="00D20D2D">
        <w:rPr>
          <w:sz w:val="22"/>
          <w:szCs w:val="22"/>
        </w:rPr>
        <w:t xml:space="preserve"> i primici</w:t>
      </w:r>
      <w:r w:rsidR="000807D7" w:rsidRPr="00D20D2D">
        <w:rPr>
          <w:sz w:val="22"/>
          <w:szCs w:val="22"/>
        </w:rPr>
        <w:t xml:space="preserve"> iznose </w:t>
      </w:r>
      <w:r w:rsidR="007C1F32" w:rsidRPr="00D20D2D">
        <w:rPr>
          <w:sz w:val="22"/>
          <w:szCs w:val="22"/>
        </w:rPr>
        <w:t>1.</w:t>
      </w:r>
      <w:r w:rsidRPr="00D20D2D">
        <w:rPr>
          <w:sz w:val="22"/>
          <w:szCs w:val="22"/>
        </w:rPr>
        <w:t>017.334</w:t>
      </w:r>
      <w:r w:rsidR="000807D7" w:rsidRPr="00D20D2D">
        <w:rPr>
          <w:sz w:val="22"/>
          <w:szCs w:val="22"/>
        </w:rPr>
        <w:t xml:space="preserve"> kn, a ukupni rashodi</w:t>
      </w:r>
      <w:r w:rsidR="007C1F32" w:rsidRPr="00D20D2D">
        <w:rPr>
          <w:sz w:val="22"/>
          <w:szCs w:val="22"/>
        </w:rPr>
        <w:t xml:space="preserve"> i izdaci iznose</w:t>
      </w:r>
      <w:r w:rsidR="000807D7" w:rsidRPr="00D20D2D">
        <w:rPr>
          <w:sz w:val="22"/>
          <w:szCs w:val="22"/>
        </w:rPr>
        <w:t xml:space="preserve"> </w:t>
      </w:r>
      <w:r w:rsidRPr="00D20D2D">
        <w:rPr>
          <w:sz w:val="22"/>
          <w:szCs w:val="22"/>
        </w:rPr>
        <w:t>1.005.075</w:t>
      </w:r>
      <w:r w:rsidR="000807D7" w:rsidRPr="00D20D2D">
        <w:rPr>
          <w:sz w:val="22"/>
          <w:szCs w:val="22"/>
        </w:rPr>
        <w:t xml:space="preserve"> kn</w:t>
      </w:r>
      <w:r w:rsidR="00707E38" w:rsidRPr="00D20D2D">
        <w:rPr>
          <w:sz w:val="22"/>
          <w:szCs w:val="22"/>
        </w:rPr>
        <w:t>, ostvaren je tekući višak</w:t>
      </w:r>
      <w:r w:rsidRPr="00D20D2D">
        <w:rPr>
          <w:sz w:val="22"/>
          <w:szCs w:val="22"/>
        </w:rPr>
        <w:t xml:space="preserve"> prihoda i primitaka</w:t>
      </w:r>
      <w:r w:rsidR="00707E38" w:rsidRPr="00D20D2D">
        <w:rPr>
          <w:sz w:val="22"/>
          <w:szCs w:val="22"/>
        </w:rPr>
        <w:t xml:space="preserve"> u iznosu </w:t>
      </w:r>
      <w:r w:rsidRPr="00D20D2D">
        <w:rPr>
          <w:sz w:val="22"/>
          <w:szCs w:val="22"/>
        </w:rPr>
        <w:t>12.</w:t>
      </w:r>
      <w:r w:rsidR="00D20D2D" w:rsidRPr="00D20D2D">
        <w:rPr>
          <w:sz w:val="22"/>
          <w:szCs w:val="22"/>
        </w:rPr>
        <w:t>259</w:t>
      </w:r>
      <w:r w:rsidR="00707E38" w:rsidRPr="00D20D2D">
        <w:rPr>
          <w:sz w:val="22"/>
          <w:szCs w:val="22"/>
        </w:rPr>
        <w:t xml:space="preserve"> kn, što sa prenesenim manjkom iz prethodne godine u iznosu 1</w:t>
      </w:r>
      <w:r w:rsidR="00D20D2D" w:rsidRPr="00D20D2D">
        <w:rPr>
          <w:sz w:val="22"/>
          <w:szCs w:val="22"/>
        </w:rPr>
        <w:t>8.454</w:t>
      </w:r>
      <w:r w:rsidR="00707E38" w:rsidRPr="00D20D2D">
        <w:rPr>
          <w:sz w:val="22"/>
          <w:szCs w:val="22"/>
        </w:rPr>
        <w:t xml:space="preserve"> kn </w:t>
      </w:r>
      <w:r w:rsidR="000807D7" w:rsidRPr="00D20D2D">
        <w:rPr>
          <w:sz w:val="22"/>
          <w:szCs w:val="22"/>
        </w:rPr>
        <w:t xml:space="preserve"> </w:t>
      </w:r>
      <w:r w:rsidR="00707E38" w:rsidRPr="00D20D2D">
        <w:rPr>
          <w:sz w:val="22"/>
          <w:szCs w:val="22"/>
        </w:rPr>
        <w:t xml:space="preserve">čini konačni rezultat u iznosu </w:t>
      </w:r>
      <w:r w:rsidR="00D20D2D" w:rsidRPr="00D20D2D">
        <w:rPr>
          <w:sz w:val="22"/>
          <w:szCs w:val="22"/>
        </w:rPr>
        <w:t>6.195</w:t>
      </w:r>
      <w:r w:rsidR="00707E38" w:rsidRPr="00D20D2D">
        <w:rPr>
          <w:sz w:val="22"/>
          <w:szCs w:val="22"/>
        </w:rPr>
        <w:t xml:space="preserve"> kn - manjak prihoda i primitaka za pokriće u sljedećem razdoblju.</w:t>
      </w:r>
    </w:p>
    <w:p w14:paraId="30C717B7" w14:textId="77777777" w:rsidR="000D4B9B" w:rsidRDefault="000D4B9B" w:rsidP="000D2A8F">
      <w:pPr>
        <w:jc w:val="both"/>
        <w:rPr>
          <w:b/>
          <w:sz w:val="22"/>
          <w:szCs w:val="22"/>
        </w:rPr>
      </w:pPr>
    </w:p>
    <w:p w14:paraId="60E5A284" w14:textId="77777777" w:rsidR="000D4B9B" w:rsidRDefault="000D4B9B" w:rsidP="000D2A8F">
      <w:pPr>
        <w:jc w:val="both"/>
        <w:rPr>
          <w:b/>
          <w:sz w:val="22"/>
          <w:szCs w:val="22"/>
        </w:rPr>
      </w:pPr>
    </w:p>
    <w:p w14:paraId="64989664" w14:textId="77777777" w:rsidR="00735C64" w:rsidRPr="00735C64" w:rsidRDefault="00735C64" w:rsidP="000D2A8F">
      <w:pPr>
        <w:jc w:val="both"/>
        <w:rPr>
          <w:b/>
          <w:sz w:val="22"/>
          <w:szCs w:val="22"/>
        </w:rPr>
      </w:pPr>
      <w:r w:rsidRPr="00735C64">
        <w:rPr>
          <w:b/>
          <w:sz w:val="22"/>
          <w:szCs w:val="22"/>
        </w:rPr>
        <w:t>BILJEŠKE UZ RAS-funkcijski</w:t>
      </w:r>
    </w:p>
    <w:p w14:paraId="4CCE5E82" w14:textId="77777777" w:rsidR="00735C64" w:rsidRDefault="00735C64" w:rsidP="000D2A8F">
      <w:pPr>
        <w:jc w:val="both"/>
        <w:rPr>
          <w:sz w:val="22"/>
          <w:szCs w:val="22"/>
        </w:rPr>
      </w:pPr>
    </w:p>
    <w:p w14:paraId="240C7573" w14:textId="77777777" w:rsidR="00735C64" w:rsidRDefault="00735C64" w:rsidP="00735C64">
      <w:pPr>
        <w:jc w:val="both"/>
        <w:rPr>
          <w:sz w:val="22"/>
          <w:szCs w:val="22"/>
        </w:rPr>
      </w:pPr>
      <w:r w:rsidRPr="00735C64">
        <w:rPr>
          <w:sz w:val="22"/>
          <w:szCs w:val="22"/>
        </w:rPr>
        <w:t>1.</w:t>
      </w:r>
      <w:r>
        <w:rPr>
          <w:sz w:val="22"/>
          <w:szCs w:val="22"/>
        </w:rPr>
        <w:t xml:space="preserve"> AOP </w:t>
      </w:r>
      <w:r w:rsidR="000A6C98">
        <w:rPr>
          <w:sz w:val="22"/>
          <w:szCs w:val="22"/>
        </w:rPr>
        <w:t>0</w:t>
      </w:r>
      <w:r w:rsidR="008F54E8">
        <w:rPr>
          <w:sz w:val="22"/>
          <w:szCs w:val="22"/>
        </w:rPr>
        <w:t>80</w:t>
      </w:r>
      <w:r>
        <w:rPr>
          <w:sz w:val="22"/>
          <w:szCs w:val="22"/>
        </w:rPr>
        <w:t xml:space="preserve"> – </w:t>
      </w:r>
      <w:r w:rsidR="008F54E8">
        <w:rPr>
          <w:sz w:val="22"/>
          <w:szCs w:val="22"/>
        </w:rPr>
        <w:t>Razvoj zajednice</w:t>
      </w:r>
      <w:r>
        <w:rPr>
          <w:sz w:val="22"/>
          <w:szCs w:val="22"/>
        </w:rPr>
        <w:t xml:space="preserve"> – </w:t>
      </w:r>
      <w:r w:rsidR="00394B11">
        <w:rPr>
          <w:sz w:val="22"/>
          <w:szCs w:val="22"/>
        </w:rPr>
        <w:t>935.523</w:t>
      </w:r>
      <w:r>
        <w:rPr>
          <w:sz w:val="22"/>
          <w:szCs w:val="22"/>
        </w:rPr>
        <w:t xml:space="preserve"> kn prema funkcijskoj klasifikaciji se odnose na</w:t>
      </w:r>
      <w:r w:rsidR="00707E38">
        <w:rPr>
          <w:sz w:val="22"/>
          <w:szCs w:val="22"/>
        </w:rPr>
        <w:t xml:space="preserve"> rashode </w:t>
      </w:r>
      <w:r>
        <w:rPr>
          <w:sz w:val="22"/>
          <w:szCs w:val="22"/>
        </w:rPr>
        <w:t xml:space="preserve"> </w:t>
      </w:r>
      <w:r w:rsidR="008F54E8">
        <w:rPr>
          <w:sz w:val="22"/>
          <w:szCs w:val="22"/>
        </w:rPr>
        <w:t>razvoj</w:t>
      </w:r>
      <w:r w:rsidR="00707E38">
        <w:rPr>
          <w:sz w:val="22"/>
          <w:szCs w:val="22"/>
        </w:rPr>
        <w:t>a</w:t>
      </w:r>
      <w:r w:rsidR="008F54E8">
        <w:rPr>
          <w:sz w:val="22"/>
          <w:szCs w:val="22"/>
        </w:rPr>
        <w:t xml:space="preserve"> zajednice</w:t>
      </w:r>
      <w:r w:rsidR="00707E38">
        <w:rPr>
          <w:sz w:val="22"/>
          <w:szCs w:val="22"/>
        </w:rPr>
        <w:t>.</w:t>
      </w:r>
    </w:p>
    <w:p w14:paraId="0D02768D" w14:textId="77777777" w:rsidR="007833A4" w:rsidRDefault="00707E38" w:rsidP="00735C64">
      <w:pPr>
        <w:jc w:val="both"/>
        <w:rPr>
          <w:sz w:val="22"/>
          <w:szCs w:val="22"/>
        </w:rPr>
      </w:pPr>
      <w:r>
        <w:rPr>
          <w:sz w:val="22"/>
          <w:szCs w:val="22"/>
        </w:rPr>
        <w:t>2. AOP 103 – Rekreacija, kultura i religija</w:t>
      </w:r>
      <w:r w:rsidR="004C52A8">
        <w:rPr>
          <w:sz w:val="22"/>
          <w:szCs w:val="22"/>
        </w:rPr>
        <w:t xml:space="preserve"> - </w:t>
      </w:r>
      <w:r>
        <w:rPr>
          <w:sz w:val="22"/>
          <w:szCs w:val="22"/>
        </w:rPr>
        <w:t xml:space="preserve"> </w:t>
      </w:r>
      <w:r w:rsidR="00394B11">
        <w:rPr>
          <w:sz w:val="22"/>
          <w:szCs w:val="22"/>
        </w:rPr>
        <w:t>69.552</w:t>
      </w:r>
      <w:r>
        <w:rPr>
          <w:sz w:val="22"/>
          <w:szCs w:val="22"/>
        </w:rPr>
        <w:t xml:space="preserve"> kn prema funkcijskoj klasifikaciji</w:t>
      </w:r>
      <w:r w:rsidR="004C52A8">
        <w:rPr>
          <w:sz w:val="22"/>
          <w:szCs w:val="22"/>
        </w:rPr>
        <w:t xml:space="preserve"> rashodi</w:t>
      </w:r>
      <w:r>
        <w:rPr>
          <w:sz w:val="22"/>
          <w:szCs w:val="22"/>
        </w:rPr>
        <w:t xml:space="preserve"> se odnose na rekreaciju</w:t>
      </w:r>
      <w:r w:rsidR="004C52A8">
        <w:rPr>
          <w:sz w:val="22"/>
          <w:szCs w:val="22"/>
        </w:rPr>
        <w:t>, kulturu i religiju koji nisu drugdje svrstani.</w:t>
      </w:r>
    </w:p>
    <w:p w14:paraId="328AB46C" w14:textId="77777777" w:rsidR="007833A4" w:rsidRPr="00761AF4" w:rsidRDefault="007833A4" w:rsidP="007833A4">
      <w:pPr>
        <w:pStyle w:val="ListParagraph"/>
        <w:suppressAutoHyphens/>
        <w:ind w:left="0"/>
        <w:jc w:val="both"/>
        <w:rPr>
          <w:sz w:val="22"/>
          <w:szCs w:val="22"/>
        </w:rPr>
      </w:pPr>
      <w:r w:rsidRPr="00761AF4">
        <w:rPr>
          <w:sz w:val="22"/>
          <w:szCs w:val="22"/>
        </w:rPr>
        <w:t>3.</w:t>
      </w:r>
      <w:r w:rsidR="00761AF4">
        <w:rPr>
          <w:sz w:val="22"/>
          <w:szCs w:val="22"/>
        </w:rPr>
        <w:t xml:space="preserve"> </w:t>
      </w:r>
      <w:r w:rsidRPr="00761AF4">
        <w:rPr>
          <w:sz w:val="22"/>
          <w:szCs w:val="22"/>
        </w:rPr>
        <w:t xml:space="preserve">AOP 137 Ukupni rashodi prema funkcijskoj klasifikaciji iznose </w:t>
      </w:r>
      <w:r w:rsidR="00CB4D52">
        <w:rPr>
          <w:sz w:val="22"/>
          <w:szCs w:val="22"/>
        </w:rPr>
        <w:t>1.005.075</w:t>
      </w:r>
      <w:r w:rsidRPr="00761AF4">
        <w:rPr>
          <w:sz w:val="22"/>
          <w:szCs w:val="22"/>
        </w:rPr>
        <w:t xml:space="preserve"> kn što odgovara AOP 40</w:t>
      </w:r>
      <w:r w:rsidR="00394B11">
        <w:rPr>
          <w:sz w:val="22"/>
          <w:szCs w:val="22"/>
        </w:rPr>
        <w:t>7</w:t>
      </w:r>
      <w:r w:rsidR="00761AF4">
        <w:rPr>
          <w:sz w:val="22"/>
          <w:szCs w:val="22"/>
        </w:rPr>
        <w:t xml:space="preserve"> </w:t>
      </w:r>
      <w:r w:rsidRPr="00761AF4">
        <w:rPr>
          <w:sz w:val="22"/>
          <w:szCs w:val="22"/>
        </w:rPr>
        <w:t xml:space="preserve"> PR-RAS</w:t>
      </w:r>
      <w:r w:rsidR="002A504A" w:rsidRPr="00761AF4">
        <w:rPr>
          <w:sz w:val="22"/>
          <w:szCs w:val="22"/>
        </w:rPr>
        <w:t xml:space="preserve"> </w:t>
      </w:r>
      <w:r w:rsidRPr="00761AF4">
        <w:rPr>
          <w:sz w:val="22"/>
          <w:szCs w:val="22"/>
        </w:rPr>
        <w:t>a.</w:t>
      </w:r>
    </w:p>
    <w:p w14:paraId="0E386BBA" w14:textId="77777777" w:rsidR="007833A4" w:rsidRPr="00761AF4" w:rsidRDefault="007833A4" w:rsidP="00735C64">
      <w:pPr>
        <w:jc w:val="both"/>
        <w:rPr>
          <w:sz w:val="22"/>
          <w:szCs w:val="22"/>
        </w:rPr>
      </w:pPr>
    </w:p>
    <w:p w14:paraId="258985E7" w14:textId="77777777" w:rsidR="00735C64" w:rsidRDefault="00735C64" w:rsidP="00735C64">
      <w:pPr>
        <w:jc w:val="both"/>
        <w:rPr>
          <w:sz w:val="22"/>
          <w:szCs w:val="22"/>
        </w:rPr>
      </w:pPr>
    </w:p>
    <w:p w14:paraId="27E2C5C3" w14:textId="77777777" w:rsidR="00735C64" w:rsidRPr="00735C64" w:rsidRDefault="00735C64" w:rsidP="00735C64">
      <w:pPr>
        <w:jc w:val="both"/>
        <w:rPr>
          <w:b/>
          <w:sz w:val="22"/>
          <w:szCs w:val="22"/>
        </w:rPr>
      </w:pPr>
      <w:r w:rsidRPr="00735C64">
        <w:rPr>
          <w:b/>
          <w:sz w:val="22"/>
          <w:szCs w:val="22"/>
        </w:rPr>
        <w:t>BILJEŠKE UZ P-VRIO</w:t>
      </w:r>
    </w:p>
    <w:p w14:paraId="41C99152" w14:textId="77777777" w:rsidR="00735C64" w:rsidRDefault="00735C64" w:rsidP="00735C64">
      <w:pPr>
        <w:jc w:val="both"/>
        <w:rPr>
          <w:sz w:val="22"/>
          <w:szCs w:val="22"/>
        </w:rPr>
      </w:pPr>
    </w:p>
    <w:p w14:paraId="6CD8DB91" w14:textId="77777777" w:rsidR="00AD7BF2" w:rsidRDefault="008504C3" w:rsidP="00AD7BF2">
      <w:pPr>
        <w:jc w:val="both"/>
        <w:rPr>
          <w:sz w:val="22"/>
          <w:szCs w:val="22"/>
        </w:rPr>
      </w:pPr>
      <w:r>
        <w:rPr>
          <w:sz w:val="22"/>
          <w:szCs w:val="22"/>
        </w:rPr>
        <w:t>U 20</w:t>
      </w:r>
      <w:r w:rsidR="004C52A8">
        <w:rPr>
          <w:sz w:val="22"/>
          <w:szCs w:val="22"/>
        </w:rPr>
        <w:t>2</w:t>
      </w:r>
      <w:r w:rsidR="002B12EB">
        <w:rPr>
          <w:sz w:val="22"/>
          <w:szCs w:val="22"/>
        </w:rPr>
        <w:t>1</w:t>
      </w:r>
      <w:r>
        <w:rPr>
          <w:sz w:val="22"/>
          <w:szCs w:val="22"/>
        </w:rPr>
        <w:t>. godini nije bilo promjena u vrijednosti i obujmu imovine i obveza.</w:t>
      </w:r>
    </w:p>
    <w:p w14:paraId="566C2F47" w14:textId="77777777" w:rsidR="00735C64" w:rsidRDefault="00735C64" w:rsidP="00735C64">
      <w:pPr>
        <w:jc w:val="both"/>
        <w:rPr>
          <w:sz w:val="22"/>
          <w:szCs w:val="22"/>
        </w:rPr>
      </w:pPr>
    </w:p>
    <w:p w14:paraId="0F5E9C53" w14:textId="77777777" w:rsidR="00735C64" w:rsidRPr="00735C64" w:rsidRDefault="00735C64" w:rsidP="00735C64">
      <w:pPr>
        <w:jc w:val="both"/>
        <w:rPr>
          <w:b/>
          <w:sz w:val="22"/>
          <w:szCs w:val="22"/>
        </w:rPr>
      </w:pPr>
      <w:r w:rsidRPr="00735C64">
        <w:rPr>
          <w:b/>
          <w:sz w:val="22"/>
          <w:szCs w:val="22"/>
        </w:rPr>
        <w:t>BILJEŠKE UZ IZVJEŠTAJ O OBVEZAMA</w:t>
      </w:r>
    </w:p>
    <w:p w14:paraId="3B9FD459" w14:textId="77777777" w:rsidR="00735C64" w:rsidRDefault="00735C64" w:rsidP="00735C64">
      <w:pPr>
        <w:jc w:val="both"/>
        <w:rPr>
          <w:sz w:val="22"/>
          <w:szCs w:val="22"/>
        </w:rPr>
      </w:pPr>
    </w:p>
    <w:p w14:paraId="7DA23D02" w14:textId="77777777" w:rsidR="00735C64" w:rsidRDefault="00735C64" w:rsidP="00735C64">
      <w:pPr>
        <w:jc w:val="both"/>
        <w:rPr>
          <w:sz w:val="22"/>
          <w:szCs w:val="22"/>
        </w:rPr>
      </w:pPr>
      <w:r w:rsidRPr="00735C64">
        <w:rPr>
          <w:sz w:val="22"/>
          <w:szCs w:val="22"/>
        </w:rPr>
        <w:t>1.</w:t>
      </w:r>
      <w:r>
        <w:rPr>
          <w:sz w:val="22"/>
          <w:szCs w:val="22"/>
        </w:rPr>
        <w:t xml:space="preserve"> AOP 03</w:t>
      </w:r>
      <w:r w:rsidR="002B12EB">
        <w:rPr>
          <w:sz w:val="22"/>
          <w:szCs w:val="22"/>
        </w:rPr>
        <w:t>8</w:t>
      </w:r>
      <w:r>
        <w:rPr>
          <w:sz w:val="22"/>
          <w:szCs w:val="22"/>
        </w:rPr>
        <w:t xml:space="preserve"> – Stanje obveza na kraju izvještajnog razdoblja iznosi </w:t>
      </w:r>
      <w:r w:rsidR="002B12EB">
        <w:rPr>
          <w:sz w:val="22"/>
          <w:szCs w:val="22"/>
        </w:rPr>
        <w:t>111.173</w:t>
      </w:r>
      <w:r>
        <w:rPr>
          <w:sz w:val="22"/>
          <w:szCs w:val="22"/>
        </w:rPr>
        <w:t xml:space="preserve"> kn</w:t>
      </w:r>
      <w:r w:rsidR="00A91AE5">
        <w:rPr>
          <w:sz w:val="22"/>
          <w:szCs w:val="22"/>
        </w:rPr>
        <w:t xml:space="preserve"> </w:t>
      </w:r>
      <w:r w:rsidR="00961B57">
        <w:rPr>
          <w:sz w:val="22"/>
          <w:szCs w:val="22"/>
        </w:rPr>
        <w:t xml:space="preserve">od kojih se </w:t>
      </w:r>
      <w:r w:rsidR="002B12EB">
        <w:rPr>
          <w:sz w:val="22"/>
          <w:szCs w:val="22"/>
        </w:rPr>
        <w:t>28.873</w:t>
      </w:r>
      <w:r w:rsidR="00961B57">
        <w:rPr>
          <w:sz w:val="22"/>
          <w:szCs w:val="22"/>
        </w:rPr>
        <w:t xml:space="preserve"> kn odnosi na</w:t>
      </w:r>
      <w:r w:rsidR="004C52A8">
        <w:rPr>
          <w:sz w:val="22"/>
          <w:szCs w:val="22"/>
        </w:rPr>
        <w:t xml:space="preserve"> </w:t>
      </w:r>
      <w:r w:rsidR="00CA3EA6">
        <w:rPr>
          <w:sz w:val="22"/>
          <w:szCs w:val="22"/>
        </w:rPr>
        <w:t xml:space="preserve">nedospjele </w:t>
      </w:r>
      <w:r w:rsidR="004C52A8">
        <w:rPr>
          <w:sz w:val="22"/>
          <w:szCs w:val="22"/>
        </w:rPr>
        <w:t>međusobne obveze proračunskih korisnika</w:t>
      </w:r>
      <w:r w:rsidR="00961B57">
        <w:rPr>
          <w:sz w:val="22"/>
          <w:szCs w:val="22"/>
        </w:rPr>
        <w:t>,</w:t>
      </w:r>
      <w:r w:rsidR="003B3C18">
        <w:rPr>
          <w:sz w:val="22"/>
          <w:szCs w:val="22"/>
        </w:rPr>
        <w:t xml:space="preserve"> 6.524 kn na dospjele obveze za rashode poslovanja za neplaćene račune,</w:t>
      </w:r>
      <w:r w:rsidR="00961B57">
        <w:rPr>
          <w:sz w:val="22"/>
          <w:szCs w:val="22"/>
        </w:rPr>
        <w:t xml:space="preserve"> a </w:t>
      </w:r>
      <w:r w:rsidR="003B3C18">
        <w:rPr>
          <w:sz w:val="22"/>
          <w:szCs w:val="22"/>
        </w:rPr>
        <w:t>18.029</w:t>
      </w:r>
      <w:r w:rsidR="008F54E8">
        <w:rPr>
          <w:sz w:val="22"/>
          <w:szCs w:val="22"/>
        </w:rPr>
        <w:t xml:space="preserve"> kn </w:t>
      </w:r>
      <w:r w:rsidR="00AD7BF2">
        <w:rPr>
          <w:sz w:val="22"/>
          <w:szCs w:val="22"/>
        </w:rPr>
        <w:t xml:space="preserve">na nedospjele obveze za rashode poslovanja za neplaćene račune i </w:t>
      </w:r>
      <w:r w:rsidR="004C52A8">
        <w:rPr>
          <w:sz w:val="22"/>
          <w:szCs w:val="22"/>
        </w:rPr>
        <w:t xml:space="preserve"> </w:t>
      </w:r>
      <w:r w:rsidR="003B3C18">
        <w:rPr>
          <w:sz w:val="22"/>
          <w:szCs w:val="22"/>
        </w:rPr>
        <w:t>57.747</w:t>
      </w:r>
      <w:r w:rsidR="004C52A8">
        <w:rPr>
          <w:sz w:val="22"/>
          <w:szCs w:val="22"/>
        </w:rPr>
        <w:t xml:space="preserve"> kn na </w:t>
      </w:r>
      <w:r w:rsidR="00AD7BF2">
        <w:rPr>
          <w:sz w:val="22"/>
          <w:szCs w:val="22"/>
        </w:rPr>
        <w:t>obračun plaće za 12. mjesec</w:t>
      </w:r>
      <w:r w:rsidR="007A23E7">
        <w:rPr>
          <w:sz w:val="22"/>
          <w:szCs w:val="22"/>
        </w:rPr>
        <w:t>.</w:t>
      </w:r>
    </w:p>
    <w:p w14:paraId="540B7E65" w14:textId="77777777" w:rsidR="007A23E7" w:rsidRDefault="007A23E7" w:rsidP="00735C64">
      <w:pPr>
        <w:jc w:val="both"/>
        <w:rPr>
          <w:sz w:val="22"/>
          <w:szCs w:val="22"/>
        </w:rPr>
      </w:pPr>
    </w:p>
    <w:p w14:paraId="57FCCE85" w14:textId="77777777" w:rsidR="007A23E7" w:rsidRDefault="007A23E7" w:rsidP="00735C64">
      <w:pPr>
        <w:jc w:val="both"/>
        <w:rPr>
          <w:sz w:val="22"/>
          <w:szCs w:val="22"/>
        </w:rPr>
      </w:pPr>
      <w:r>
        <w:rPr>
          <w:sz w:val="22"/>
          <w:szCs w:val="22"/>
        </w:rPr>
        <w:t xml:space="preserve">Požega, </w:t>
      </w:r>
      <w:r w:rsidR="00032629">
        <w:rPr>
          <w:sz w:val="22"/>
          <w:szCs w:val="22"/>
        </w:rPr>
        <w:t>31</w:t>
      </w:r>
      <w:r>
        <w:rPr>
          <w:sz w:val="22"/>
          <w:szCs w:val="22"/>
        </w:rPr>
        <w:t>. siječnja 20</w:t>
      </w:r>
      <w:r w:rsidR="008504C3">
        <w:rPr>
          <w:sz w:val="22"/>
          <w:szCs w:val="22"/>
        </w:rPr>
        <w:t>2</w:t>
      </w:r>
      <w:r w:rsidR="00B272BB">
        <w:rPr>
          <w:sz w:val="22"/>
          <w:szCs w:val="22"/>
        </w:rPr>
        <w:t>1</w:t>
      </w:r>
      <w:r>
        <w:rPr>
          <w:sz w:val="22"/>
          <w:szCs w:val="22"/>
        </w:rPr>
        <w:t>.</w:t>
      </w:r>
    </w:p>
    <w:p w14:paraId="188B9864" w14:textId="77777777" w:rsidR="007A23E7" w:rsidRDefault="007A23E7" w:rsidP="00735C64">
      <w:pPr>
        <w:jc w:val="both"/>
        <w:rPr>
          <w:sz w:val="22"/>
          <w:szCs w:val="22"/>
        </w:rPr>
      </w:pPr>
    </w:p>
    <w:p w14:paraId="3E61E029" w14:textId="77777777" w:rsidR="007A23E7" w:rsidRDefault="007A23E7" w:rsidP="00735C64">
      <w:pPr>
        <w:jc w:val="both"/>
        <w:rPr>
          <w:sz w:val="22"/>
          <w:szCs w:val="22"/>
        </w:rPr>
      </w:pPr>
      <w:r>
        <w:rPr>
          <w:sz w:val="22"/>
          <w:szCs w:val="22"/>
        </w:rPr>
        <w:t xml:space="preserve">Osoba za kontaktiranje: </w:t>
      </w:r>
      <w:r w:rsidR="00D84711">
        <w:rPr>
          <w:sz w:val="22"/>
          <w:szCs w:val="22"/>
        </w:rPr>
        <w:t>Anita Papoušek</w:t>
      </w:r>
    </w:p>
    <w:p w14:paraId="4BE168B3" w14:textId="77777777" w:rsidR="007A23E7" w:rsidRPr="000D2A8F" w:rsidRDefault="007A23E7" w:rsidP="00735C64">
      <w:pPr>
        <w:jc w:val="both"/>
        <w:rPr>
          <w:sz w:val="22"/>
          <w:szCs w:val="22"/>
        </w:rPr>
      </w:pPr>
      <w:r>
        <w:rPr>
          <w:sz w:val="22"/>
          <w:szCs w:val="22"/>
        </w:rPr>
        <w:t>Kontakt telefon: 034/311-321</w:t>
      </w:r>
    </w:p>
    <w:p w14:paraId="217A72C5" w14:textId="77777777" w:rsidR="00B25DC7" w:rsidRPr="007A23E7" w:rsidRDefault="004C52A8" w:rsidP="007A23E7">
      <w:pPr>
        <w:spacing w:line="276" w:lineRule="auto"/>
        <w:ind w:left="5670"/>
        <w:jc w:val="center"/>
        <w:rPr>
          <w:sz w:val="22"/>
          <w:szCs w:val="22"/>
        </w:rPr>
      </w:pPr>
      <w:r>
        <w:rPr>
          <w:sz w:val="22"/>
          <w:szCs w:val="22"/>
        </w:rPr>
        <w:t>Ravnatelj</w:t>
      </w:r>
      <w:r w:rsidR="00B272BB">
        <w:rPr>
          <w:sz w:val="22"/>
          <w:szCs w:val="22"/>
        </w:rPr>
        <w:t>ica</w:t>
      </w:r>
      <w:r w:rsidR="00B25DC7" w:rsidRPr="007A23E7">
        <w:rPr>
          <w:sz w:val="22"/>
          <w:szCs w:val="22"/>
        </w:rPr>
        <w:t>:</w:t>
      </w:r>
    </w:p>
    <w:p w14:paraId="7191BDF0" w14:textId="77777777" w:rsidR="00B25DC7" w:rsidRDefault="00247641" w:rsidP="007A23E7">
      <w:pPr>
        <w:spacing w:line="276" w:lineRule="auto"/>
        <w:ind w:left="5670"/>
        <w:jc w:val="center"/>
        <w:rPr>
          <w:sz w:val="22"/>
          <w:szCs w:val="22"/>
        </w:rPr>
      </w:pPr>
      <w:r>
        <w:rPr>
          <w:sz w:val="22"/>
          <w:szCs w:val="22"/>
        </w:rPr>
        <w:t>Ida Dumančić</w:t>
      </w:r>
    </w:p>
    <w:p w14:paraId="7F30A03D" w14:textId="77777777" w:rsidR="009903EC" w:rsidRPr="009903EC" w:rsidRDefault="009903EC" w:rsidP="009903EC">
      <w:pPr>
        <w:rPr>
          <w:sz w:val="22"/>
          <w:szCs w:val="22"/>
        </w:rPr>
      </w:pPr>
    </w:p>
    <w:p w14:paraId="07802E56" w14:textId="77777777" w:rsidR="009903EC" w:rsidRDefault="009903EC" w:rsidP="009903EC">
      <w:pPr>
        <w:tabs>
          <w:tab w:val="left" w:pos="6690"/>
        </w:tabs>
        <w:rPr>
          <w:sz w:val="22"/>
          <w:szCs w:val="22"/>
        </w:rPr>
      </w:pPr>
    </w:p>
    <w:p w14:paraId="5B7E5B8D" w14:textId="77777777" w:rsidR="009903EC" w:rsidRDefault="009903EC" w:rsidP="009903EC">
      <w:pPr>
        <w:tabs>
          <w:tab w:val="left" w:pos="6690"/>
        </w:tabs>
        <w:rPr>
          <w:sz w:val="22"/>
          <w:szCs w:val="22"/>
        </w:rPr>
      </w:pPr>
    </w:p>
    <w:p w14:paraId="198B26E9" w14:textId="77777777" w:rsidR="009903EC" w:rsidRDefault="009903EC" w:rsidP="009903EC">
      <w:pPr>
        <w:tabs>
          <w:tab w:val="left" w:pos="6690"/>
        </w:tabs>
        <w:rPr>
          <w:sz w:val="22"/>
          <w:szCs w:val="22"/>
        </w:rPr>
      </w:pPr>
    </w:p>
    <w:p w14:paraId="0A6087B3" w14:textId="77777777" w:rsidR="009903EC" w:rsidRDefault="009903EC" w:rsidP="009903EC">
      <w:pPr>
        <w:tabs>
          <w:tab w:val="left" w:pos="6690"/>
        </w:tabs>
        <w:rPr>
          <w:sz w:val="22"/>
          <w:szCs w:val="22"/>
        </w:rPr>
      </w:pPr>
    </w:p>
    <w:p w14:paraId="34428358" w14:textId="77777777" w:rsidR="009903EC" w:rsidRDefault="009903EC" w:rsidP="009903EC">
      <w:pPr>
        <w:tabs>
          <w:tab w:val="left" w:pos="6690"/>
        </w:tabs>
        <w:rPr>
          <w:sz w:val="22"/>
          <w:szCs w:val="22"/>
        </w:rPr>
      </w:pPr>
    </w:p>
    <w:sectPr w:rsidR="00990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061513D1"/>
    <w:multiLevelType w:val="hybridMultilevel"/>
    <w:tmpl w:val="9458781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6"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CD73CC"/>
    <w:multiLevelType w:val="hybridMultilevel"/>
    <w:tmpl w:val="18EC6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B23C98"/>
    <w:multiLevelType w:val="hybridMultilevel"/>
    <w:tmpl w:val="C388D1E0"/>
    <w:lvl w:ilvl="0" w:tplc="041A000F">
      <w:start w:val="1"/>
      <w:numFmt w:val="decimal"/>
      <w:lvlText w:val="%1."/>
      <w:lvlJc w:val="left"/>
      <w:pPr>
        <w:ind w:left="1498" w:hanging="360"/>
      </w:pPr>
    </w:lvl>
    <w:lvl w:ilvl="1" w:tplc="041A0019">
      <w:start w:val="1"/>
      <w:numFmt w:val="lowerLetter"/>
      <w:lvlText w:val="%2."/>
      <w:lvlJc w:val="left"/>
      <w:pPr>
        <w:ind w:left="2218" w:hanging="360"/>
      </w:pPr>
    </w:lvl>
    <w:lvl w:ilvl="2" w:tplc="041A001B">
      <w:start w:val="1"/>
      <w:numFmt w:val="lowerRoman"/>
      <w:lvlText w:val="%3."/>
      <w:lvlJc w:val="right"/>
      <w:pPr>
        <w:ind w:left="2938" w:hanging="180"/>
      </w:pPr>
    </w:lvl>
    <w:lvl w:ilvl="3" w:tplc="041A000F">
      <w:start w:val="1"/>
      <w:numFmt w:val="decimal"/>
      <w:lvlText w:val="%4."/>
      <w:lvlJc w:val="left"/>
      <w:pPr>
        <w:ind w:left="3658" w:hanging="360"/>
      </w:pPr>
    </w:lvl>
    <w:lvl w:ilvl="4" w:tplc="041A0019">
      <w:start w:val="1"/>
      <w:numFmt w:val="lowerLetter"/>
      <w:lvlText w:val="%5."/>
      <w:lvlJc w:val="left"/>
      <w:pPr>
        <w:ind w:left="4378" w:hanging="360"/>
      </w:pPr>
    </w:lvl>
    <w:lvl w:ilvl="5" w:tplc="041A001B">
      <w:start w:val="1"/>
      <w:numFmt w:val="lowerRoman"/>
      <w:lvlText w:val="%6."/>
      <w:lvlJc w:val="right"/>
      <w:pPr>
        <w:ind w:left="5098" w:hanging="180"/>
      </w:pPr>
    </w:lvl>
    <w:lvl w:ilvl="6" w:tplc="041A000F">
      <w:start w:val="1"/>
      <w:numFmt w:val="decimal"/>
      <w:lvlText w:val="%7."/>
      <w:lvlJc w:val="left"/>
      <w:pPr>
        <w:ind w:left="5818" w:hanging="360"/>
      </w:pPr>
    </w:lvl>
    <w:lvl w:ilvl="7" w:tplc="041A0019">
      <w:start w:val="1"/>
      <w:numFmt w:val="lowerLetter"/>
      <w:lvlText w:val="%8."/>
      <w:lvlJc w:val="left"/>
      <w:pPr>
        <w:ind w:left="6538" w:hanging="360"/>
      </w:pPr>
    </w:lvl>
    <w:lvl w:ilvl="8" w:tplc="041A001B">
      <w:start w:val="1"/>
      <w:numFmt w:val="lowerRoman"/>
      <w:lvlText w:val="%9."/>
      <w:lvlJc w:val="right"/>
      <w:pPr>
        <w:ind w:left="7258" w:hanging="180"/>
      </w:pPr>
    </w:lvl>
  </w:abstractNum>
  <w:abstractNum w:abstractNumId="14" w15:restartNumberingAfterBreak="0">
    <w:nsid w:val="5EBB7503"/>
    <w:multiLevelType w:val="hybridMultilevel"/>
    <w:tmpl w:val="850A7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16"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8"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EFD265B"/>
    <w:multiLevelType w:val="hybridMultilevel"/>
    <w:tmpl w:val="DF0C8EB4"/>
    <w:lvl w:ilvl="0" w:tplc="1DAA5166">
      <w:start w:val="1"/>
      <w:numFmt w:val="decimal"/>
      <w:lvlText w:val="%1."/>
      <w:lvlJc w:val="left"/>
      <w:pPr>
        <w:ind w:left="720" w:hanging="360"/>
      </w:pPr>
      <w:rPr>
        <w:rFonts w:hint="default"/>
        <w:b w:val="0"/>
        <w:bCs/>
      </w:rPr>
    </w:lvl>
    <w:lvl w:ilvl="1" w:tplc="041A000B">
      <w:start w:val="1"/>
      <w:numFmt w:val="bullet"/>
      <w:lvlText w:val=""/>
      <w:lvlJc w:val="left"/>
      <w:pPr>
        <w:ind w:left="786"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B53D01"/>
    <w:multiLevelType w:val="hybridMultilevel"/>
    <w:tmpl w:val="B09A8ACE"/>
    <w:lvl w:ilvl="0" w:tplc="EC88B1B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2"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23"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8"/>
  </w:num>
  <w:num w:numId="4">
    <w:abstractNumId w:val="25"/>
  </w:num>
  <w:num w:numId="5">
    <w:abstractNumId w:val="24"/>
  </w:num>
  <w:num w:numId="6">
    <w:abstractNumId w:val="18"/>
  </w:num>
  <w:num w:numId="7">
    <w:abstractNumId w:val="7"/>
  </w:num>
  <w:num w:numId="8">
    <w:abstractNumId w:val="0"/>
  </w:num>
  <w:num w:numId="9">
    <w:abstractNumId w:val="1"/>
  </w:num>
  <w:num w:numId="10">
    <w:abstractNumId w:val="2"/>
  </w:num>
  <w:num w:numId="11">
    <w:abstractNumId w:val="3"/>
  </w:num>
  <w:num w:numId="12">
    <w:abstractNumId w:val="5"/>
  </w:num>
  <w:num w:numId="13">
    <w:abstractNumId w:val="11"/>
  </w:num>
  <w:num w:numId="14">
    <w:abstractNumId w:val="12"/>
  </w:num>
  <w:num w:numId="15">
    <w:abstractNumId w:val="23"/>
  </w:num>
  <w:num w:numId="16">
    <w:abstractNumId w:val="16"/>
  </w:num>
  <w:num w:numId="17">
    <w:abstractNumId w:val="9"/>
  </w:num>
  <w:num w:numId="18">
    <w:abstractNumId w:val="6"/>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lvlOverride w:ilvl="3"/>
    <w:lvlOverride w:ilvl="4"/>
    <w:lvlOverride w:ilvl="5"/>
    <w:lvlOverride w:ilvl="6"/>
    <w:lvlOverride w:ilvl="7"/>
    <w:lvlOverride w:ilvl="8"/>
  </w:num>
  <w:num w:numId="23">
    <w:abstractNumId w:val="10"/>
  </w:num>
  <w:num w:numId="24">
    <w:abstractNumId w:val="14"/>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32629"/>
    <w:rsid w:val="00063C1D"/>
    <w:rsid w:val="000807D7"/>
    <w:rsid w:val="00086495"/>
    <w:rsid w:val="00092CE0"/>
    <w:rsid w:val="0009301A"/>
    <w:rsid w:val="000A6C98"/>
    <w:rsid w:val="000B6451"/>
    <w:rsid w:val="000D2A8F"/>
    <w:rsid w:val="000D4B9B"/>
    <w:rsid w:val="000E09FC"/>
    <w:rsid w:val="001342DD"/>
    <w:rsid w:val="00145730"/>
    <w:rsid w:val="0015068E"/>
    <w:rsid w:val="00155B84"/>
    <w:rsid w:val="001602C3"/>
    <w:rsid w:val="00176302"/>
    <w:rsid w:val="001A458A"/>
    <w:rsid w:val="001B4BFB"/>
    <w:rsid w:val="001C6DC6"/>
    <w:rsid w:val="001E5FBC"/>
    <w:rsid w:val="001F2669"/>
    <w:rsid w:val="001F538E"/>
    <w:rsid w:val="0020122C"/>
    <w:rsid w:val="00212732"/>
    <w:rsid w:val="00214BCD"/>
    <w:rsid w:val="00231E8C"/>
    <w:rsid w:val="00234D92"/>
    <w:rsid w:val="00242E4B"/>
    <w:rsid w:val="00247641"/>
    <w:rsid w:val="00261B42"/>
    <w:rsid w:val="002A03C3"/>
    <w:rsid w:val="002A3A79"/>
    <w:rsid w:val="002A504A"/>
    <w:rsid w:val="002B12EB"/>
    <w:rsid w:val="002B1D5C"/>
    <w:rsid w:val="002D15E9"/>
    <w:rsid w:val="002D18F5"/>
    <w:rsid w:val="00302E41"/>
    <w:rsid w:val="003063F4"/>
    <w:rsid w:val="00313E03"/>
    <w:rsid w:val="00322882"/>
    <w:rsid w:val="00356DCE"/>
    <w:rsid w:val="00366F01"/>
    <w:rsid w:val="00385FEC"/>
    <w:rsid w:val="003877E7"/>
    <w:rsid w:val="0039496C"/>
    <w:rsid w:val="00394B11"/>
    <w:rsid w:val="003A4E37"/>
    <w:rsid w:val="003B1509"/>
    <w:rsid w:val="003B3C18"/>
    <w:rsid w:val="003D3993"/>
    <w:rsid w:val="003F280A"/>
    <w:rsid w:val="004070A7"/>
    <w:rsid w:val="004322A3"/>
    <w:rsid w:val="00433CD9"/>
    <w:rsid w:val="00441977"/>
    <w:rsid w:val="00445D7C"/>
    <w:rsid w:val="0045285D"/>
    <w:rsid w:val="00455BB9"/>
    <w:rsid w:val="00474287"/>
    <w:rsid w:val="00493569"/>
    <w:rsid w:val="004B5102"/>
    <w:rsid w:val="004C52A8"/>
    <w:rsid w:val="004C5C17"/>
    <w:rsid w:val="00540804"/>
    <w:rsid w:val="0055082A"/>
    <w:rsid w:val="0055150A"/>
    <w:rsid w:val="0055551D"/>
    <w:rsid w:val="00560813"/>
    <w:rsid w:val="00595C9B"/>
    <w:rsid w:val="005C6B1D"/>
    <w:rsid w:val="005D6E48"/>
    <w:rsid w:val="005E0EC9"/>
    <w:rsid w:val="005E28F0"/>
    <w:rsid w:val="005E524C"/>
    <w:rsid w:val="00620F90"/>
    <w:rsid w:val="00630ABC"/>
    <w:rsid w:val="00634680"/>
    <w:rsid w:val="0066462B"/>
    <w:rsid w:val="00667E89"/>
    <w:rsid w:val="006A264B"/>
    <w:rsid w:val="006A26A1"/>
    <w:rsid w:val="006E0AB0"/>
    <w:rsid w:val="00705D89"/>
    <w:rsid w:val="00707E38"/>
    <w:rsid w:val="007159F9"/>
    <w:rsid w:val="0072305C"/>
    <w:rsid w:val="00735C64"/>
    <w:rsid w:val="0074735B"/>
    <w:rsid w:val="00750711"/>
    <w:rsid w:val="007522AC"/>
    <w:rsid w:val="00761AF4"/>
    <w:rsid w:val="007761C1"/>
    <w:rsid w:val="007833A4"/>
    <w:rsid w:val="007A23E7"/>
    <w:rsid w:val="007C1F32"/>
    <w:rsid w:val="008102C2"/>
    <w:rsid w:val="008115FA"/>
    <w:rsid w:val="008145BC"/>
    <w:rsid w:val="008343A4"/>
    <w:rsid w:val="00836BCA"/>
    <w:rsid w:val="00840B0D"/>
    <w:rsid w:val="0084517C"/>
    <w:rsid w:val="008504C3"/>
    <w:rsid w:val="0085185F"/>
    <w:rsid w:val="00884C9B"/>
    <w:rsid w:val="00893C84"/>
    <w:rsid w:val="008A2D0E"/>
    <w:rsid w:val="008A6123"/>
    <w:rsid w:val="008B0DF1"/>
    <w:rsid w:val="008B1FD3"/>
    <w:rsid w:val="008B60D9"/>
    <w:rsid w:val="008F163F"/>
    <w:rsid w:val="008F21F3"/>
    <w:rsid w:val="008F54E8"/>
    <w:rsid w:val="00901039"/>
    <w:rsid w:val="00914055"/>
    <w:rsid w:val="00917628"/>
    <w:rsid w:val="009448B6"/>
    <w:rsid w:val="00955732"/>
    <w:rsid w:val="00961B57"/>
    <w:rsid w:val="00964D71"/>
    <w:rsid w:val="00987E65"/>
    <w:rsid w:val="009903EC"/>
    <w:rsid w:val="009C450D"/>
    <w:rsid w:val="009C7FFC"/>
    <w:rsid w:val="009D0AC4"/>
    <w:rsid w:val="009D0C25"/>
    <w:rsid w:val="009D4603"/>
    <w:rsid w:val="009D5E5E"/>
    <w:rsid w:val="009F2557"/>
    <w:rsid w:val="009F29D1"/>
    <w:rsid w:val="00A126E8"/>
    <w:rsid w:val="00A13F7D"/>
    <w:rsid w:val="00A15BA9"/>
    <w:rsid w:val="00A3228F"/>
    <w:rsid w:val="00A67E9E"/>
    <w:rsid w:val="00A91AE5"/>
    <w:rsid w:val="00AD7BF2"/>
    <w:rsid w:val="00B239C8"/>
    <w:rsid w:val="00B25DC7"/>
    <w:rsid w:val="00B272BB"/>
    <w:rsid w:val="00B4489A"/>
    <w:rsid w:val="00B46226"/>
    <w:rsid w:val="00B52B8A"/>
    <w:rsid w:val="00B53CF0"/>
    <w:rsid w:val="00BA2952"/>
    <w:rsid w:val="00BB2F31"/>
    <w:rsid w:val="00BB4E9C"/>
    <w:rsid w:val="00BC4A62"/>
    <w:rsid w:val="00BC7628"/>
    <w:rsid w:val="00BD0C02"/>
    <w:rsid w:val="00BE7C83"/>
    <w:rsid w:val="00C3481C"/>
    <w:rsid w:val="00C41489"/>
    <w:rsid w:val="00C426C8"/>
    <w:rsid w:val="00C53721"/>
    <w:rsid w:val="00C8143A"/>
    <w:rsid w:val="00C96650"/>
    <w:rsid w:val="00CA3EA6"/>
    <w:rsid w:val="00CB4D52"/>
    <w:rsid w:val="00CC1156"/>
    <w:rsid w:val="00CE15DD"/>
    <w:rsid w:val="00CE51AC"/>
    <w:rsid w:val="00D10787"/>
    <w:rsid w:val="00D14725"/>
    <w:rsid w:val="00D20D2D"/>
    <w:rsid w:val="00D406D8"/>
    <w:rsid w:val="00D51730"/>
    <w:rsid w:val="00D81D7D"/>
    <w:rsid w:val="00D82FFF"/>
    <w:rsid w:val="00D84711"/>
    <w:rsid w:val="00DB25A9"/>
    <w:rsid w:val="00DB3FE8"/>
    <w:rsid w:val="00DD704F"/>
    <w:rsid w:val="00DE1967"/>
    <w:rsid w:val="00DF57F3"/>
    <w:rsid w:val="00DF7EF6"/>
    <w:rsid w:val="00E23394"/>
    <w:rsid w:val="00E23DE8"/>
    <w:rsid w:val="00E33B63"/>
    <w:rsid w:val="00E34F0B"/>
    <w:rsid w:val="00E443B6"/>
    <w:rsid w:val="00E90405"/>
    <w:rsid w:val="00E9572A"/>
    <w:rsid w:val="00EA6D27"/>
    <w:rsid w:val="00EA7C0F"/>
    <w:rsid w:val="00EB678F"/>
    <w:rsid w:val="00ED1B12"/>
    <w:rsid w:val="00EE168A"/>
    <w:rsid w:val="00F13616"/>
    <w:rsid w:val="00FA26BC"/>
    <w:rsid w:val="00FA3022"/>
    <w:rsid w:val="00FA4BFD"/>
    <w:rsid w:val="00FC57F9"/>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7DAD3"/>
  <w15:chartTrackingRefBased/>
  <w15:docId w15:val="{89F0B7CF-79CD-4192-9B3A-034AC6A6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paragraph" w:styleId="NoSpacing">
    <w:name w:val="No Spacing"/>
    <w:uiPriority w:val="1"/>
    <w:qFormat/>
    <w:rsid w:val="00092CE0"/>
    <w:rPr>
      <w:rFonts w:ascii="Calibri" w:eastAsia="Calibri" w:hAnsi="Calibri"/>
      <w:sz w:val="22"/>
      <w:szCs w:val="22"/>
      <w:lang w:eastAsia="en-US"/>
    </w:rPr>
  </w:style>
  <w:style w:type="table" w:styleId="TableGrid">
    <w:name w:val="Table Grid"/>
    <w:basedOn w:val="TableNormal"/>
    <w:rsid w:val="0009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801">
      <w:bodyDiv w:val="1"/>
      <w:marLeft w:val="0"/>
      <w:marRight w:val="0"/>
      <w:marTop w:val="0"/>
      <w:marBottom w:val="0"/>
      <w:divBdr>
        <w:top w:val="none" w:sz="0" w:space="0" w:color="auto"/>
        <w:left w:val="none" w:sz="0" w:space="0" w:color="auto"/>
        <w:bottom w:val="none" w:sz="0" w:space="0" w:color="auto"/>
        <w:right w:val="none" w:sz="0" w:space="0" w:color="auto"/>
      </w:divBdr>
    </w:div>
    <w:div w:id="141970908">
      <w:bodyDiv w:val="1"/>
      <w:marLeft w:val="0"/>
      <w:marRight w:val="0"/>
      <w:marTop w:val="0"/>
      <w:marBottom w:val="0"/>
      <w:divBdr>
        <w:top w:val="none" w:sz="0" w:space="0" w:color="auto"/>
        <w:left w:val="none" w:sz="0" w:space="0" w:color="auto"/>
        <w:bottom w:val="none" w:sz="0" w:space="0" w:color="auto"/>
        <w:right w:val="none" w:sz="0" w:space="0" w:color="auto"/>
      </w:divBdr>
    </w:div>
    <w:div w:id="1049764816">
      <w:bodyDiv w:val="1"/>
      <w:marLeft w:val="0"/>
      <w:marRight w:val="0"/>
      <w:marTop w:val="0"/>
      <w:marBottom w:val="0"/>
      <w:divBdr>
        <w:top w:val="none" w:sz="0" w:space="0" w:color="auto"/>
        <w:left w:val="none" w:sz="0" w:space="0" w:color="auto"/>
        <w:bottom w:val="none" w:sz="0" w:space="0" w:color="auto"/>
        <w:right w:val="none" w:sz="0" w:space="0" w:color="auto"/>
      </w:divBdr>
    </w:div>
    <w:div w:id="17846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KRIŽANAC</cp:lastModifiedBy>
  <cp:revision>2</cp:revision>
  <cp:lastPrinted>2022-01-26T09:38:00Z</cp:lastPrinted>
  <dcterms:created xsi:type="dcterms:W3CDTF">2022-02-07T06:09:00Z</dcterms:created>
  <dcterms:modified xsi:type="dcterms:W3CDTF">2022-02-07T06:09:00Z</dcterms:modified>
</cp:coreProperties>
</file>