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8F6EAC" w14:paraId="4AF61214" w14:textId="77777777" w:rsidTr="0077740F">
        <w:trPr>
          <w:trHeight w:val="393"/>
        </w:trPr>
        <w:tc>
          <w:tcPr>
            <w:tcW w:w="4770" w:type="dxa"/>
          </w:tcPr>
          <w:p w14:paraId="14458B1A" w14:textId="77777777" w:rsidR="008F6EAC" w:rsidRDefault="008F6EAC" w:rsidP="0077740F">
            <w:pPr>
              <w:contextualSpacing/>
              <w:rPr>
                <w:rFonts w:ascii="PDF417x" w:eastAsia="Times New Roman" w:hAnsi="PDF417x" w:cs="Times New Roman"/>
              </w:rPr>
            </w:pPr>
            <w:r>
              <w:rPr>
                <w:rFonts w:ascii="PDF417x" w:eastAsia="Times New Roman" w:hAnsi="PDF417x" w:cs="Times New Roman"/>
              </w:rPr>
              <w:t>+*xfs*pvs*lsu*cvA*xBj*tCi*llc*tAr*uEw*yyn*pBk*-</w:t>
            </w:r>
            <w:r>
              <w:rPr>
                <w:rFonts w:ascii="PDF417x" w:eastAsia="Times New Roman" w:hAnsi="PDF417x" w:cs="Times New Roman"/>
              </w:rPr>
              <w:br/>
              <w:t>+*yqw*owE*iju*gzq*ugc*yla*icz*mzi*xCk*jus*zew*-</w:t>
            </w:r>
            <w:r>
              <w:rPr>
                <w:rFonts w:ascii="PDF417x" w:eastAsia="Times New Roman" w:hAnsi="PDF417x" w:cs="Times New Roman"/>
              </w:rPr>
              <w:br/>
              <w:t>+*eDs*lyd*lyd*lyd*lyd*Agr*Dtc*Dfk*ruC*Aqz*zfE*-</w:t>
            </w:r>
            <w:r>
              <w:rPr>
                <w:rFonts w:ascii="PDF417x" w:eastAsia="Times New Roman" w:hAnsi="PDF417x" w:cs="Times New Roman"/>
              </w:rPr>
              <w:br/>
              <w:t>+*ftw*rDn*dAk*CcE*FBA*CDD*osw*EvA*xfs*CBE*onA*-</w:t>
            </w:r>
            <w:r>
              <w:rPr>
                <w:rFonts w:ascii="PDF417x" w:eastAsia="Times New Roman" w:hAnsi="PDF417x" w:cs="Times New Roman"/>
              </w:rPr>
              <w:br/>
              <w:t>+*ftA*Fzi*yyx*xAe*stu*cjc*slm*myg*xga*ywu*uws*-</w:t>
            </w:r>
            <w:r>
              <w:rPr>
                <w:rFonts w:ascii="PDF417x" w:eastAsia="Times New Roman" w:hAnsi="PDF417x" w:cs="Times New Roman"/>
              </w:rPr>
              <w:br/>
              <w:t>+*xjq*Axr*bDb*Day*iwy*yrE*inA*bsh*urw*jAm*uzq*-</w:t>
            </w:r>
            <w:r>
              <w:rPr>
                <w:rFonts w:ascii="PDF417x" w:eastAsia="Times New Roman" w:hAnsi="PDF417x" w:cs="Times New Roman"/>
              </w:rPr>
              <w:br/>
            </w:r>
          </w:p>
        </w:tc>
      </w:tr>
    </w:tbl>
    <w:p w14:paraId="5D20547E" w14:textId="77777777" w:rsidR="008F6EAC" w:rsidRDefault="008F6EAC" w:rsidP="008F6EAC">
      <w:pPr>
        <w:tabs>
          <w:tab w:val="center" w:pos="1440"/>
        </w:tabs>
        <w:spacing w:after="240"/>
        <w:jc w:val="center"/>
        <w:rPr>
          <w:rFonts w:cstheme="minorHAnsi"/>
          <w:b/>
          <w:color w:val="153D63"/>
          <w:sz w:val="32"/>
          <w:szCs w:val="32"/>
        </w:rPr>
      </w:pPr>
      <w:r w:rsidRPr="00CA5BF3">
        <w:rPr>
          <w:rFonts w:cstheme="minorHAnsi"/>
          <w:b/>
          <w:color w:val="153D63"/>
          <w:sz w:val="32"/>
          <w:szCs w:val="32"/>
        </w:rPr>
        <w:t>INDEKSNI NIZOVI KUPOPRODAJNI</w:t>
      </w:r>
      <w:r>
        <w:rPr>
          <w:rFonts w:cstheme="minorHAnsi"/>
          <w:b/>
          <w:color w:val="153D63"/>
          <w:sz w:val="32"/>
          <w:szCs w:val="32"/>
        </w:rPr>
        <w:t xml:space="preserve"> </w:t>
      </w:r>
      <w:r w:rsidRPr="00CA5BF3">
        <w:rPr>
          <w:rFonts w:cstheme="minorHAnsi"/>
          <w:b/>
          <w:color w:val="153D63"/>
          <w:sz w:val="32"/>
          <w:szCs w:val="32"/>
        </w:rPr>
        <w:t>HCIJENA</w:t>
      </w:r>
    </w:p>
    <w:p w14:paraId="3C564DB3" w14:textId="58AA832D" w:rsidR="008F6EAC" w:rsidRDefault="008F6EAC" w:rsidP="008F6EAC">
      <w:pPr>
        <w:tabs>
          <w:tab w:val="center" w:pos="1440"/>
        </w:tabs>
        <w:spacing w:before="240" w:after="240" w:line="276" w:lineRule="auto"/>
        <w:jc w:val="center"/>
        <w:rPr>
          <w:rFonts w:cstheme="minorHAnsi"/>
          <w:b/>
          <w:color w:val="153D63"/>
          <w:sz w:val="32"/>
          <w:szCs w:val="32"/>
        </w:rPr>
      </w:pPr>
      <w:r w:rsidRPr="00157D57">
        <w:rPr>
          <w:rFonts w:cstheme="minorHAnsi"/>
          <w:b/>
          <w:color w:val="153D63"/>
          <w:sz w:val="32"/>
          <w:szCs w:val="32"/>
        </w:rPr>
        <w:t>Godišnji indeksni nizovi 20</w:t>
      </w:r>
      <w:r>
        <w:rPr>
          <w:rFonts w:cstheme="minorHAnsi"/>
          <w:b/>
          <w:color w:val="153D63"/>
          <w:sz w:val="32"/>
          <w:szCs w:val="32"/>
        </w:rPr>
        <w:t>20</w:t>
      </w:r>
      <w:r w:rsidRPr="00157D57">
        <w:rPr>
          <w:rFonts w:cstheme="minorHAnsi"/>
          <w:b/>
          <w:color w:val="153D63"/>
          <w:sz w:val="32"/>
          <w:szCs w:val="32"/>
        </w:rPr>
        <w:t xml:space="preserve">. </w:t>
      </w:r>
      <w:r w:rsidR="008E6575">
        <w:rPr>
          <w:rFonts w:cstheme="minorHAnsi"/>
          <w:b/>
          <w:color w:val="153D63"/>
          <w:sz w:val="32"/>
          <w:szCs w:val="32"/>
        </w:rPr>
        <w:t>–</w:t>
      </w:r>
      <w:r w:rsidRPr="00157D57">
        <w:rPr>
          <w:rFonts w:cstheme="minorHAnsi"/>
          <w:b/>
          <w:color w:val="153D63"/>
          <w:sz w:val="32"/>
          <w:szCs w:val="32"/>
        </w:rPr>
        <w:t xml:space="preserve"> 2024</w:t>
      </w:r>
      <w:r w:rsidR="008E6575">
        <w:rPr>
          <w:rFonts w:cstheme="minorHAnsi"/>
          <w:b/>
          <w:color w:val="153D63"/>
          <w:sz w:val="32"/>
          <w:szCs w:val="32"/>
        </w:rPr>
        <w:t>.</w:t>
      </w:r>
      <w:r w:rsidRPr="00CA5BF3">
        <w:rPr>
          <w:rFonts w:cstheme="minorHAnsi"/>
          <w:b/>
          <w:color w:val="153D63"/>
          <w:sz w:val="32"/>
          <w:szCs w:val="32"/>
        </w:rPr>
        <w:t xml:space="preserve"> </w:t>
      </w:r>
    </w:p>
    <w:tbl>
      <w:tblPr>
        <w:tblW w:w="920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000"/>
        <w:gridCol w:w="1233"/>
        <w:gridCol w:w="1339"/>
        <w:gridCol w:w="1339"/>
        <w:gridCol w:w="1071"/>
        <w:gridCol w:w="1227"/>
      </w:tblGrid>
      <w:tr w:rsidR="008F6EAC" w:rsidRPr="00CA5BF3" w14:paraId="655C2B96" w14:textId="77777777" w:rsidTr="0077740F">
        <w:trPr>
          <w:trHeight w:val="582"/>
          <w:jc w:val="center"/>
        </w:trPr>
        <w:tc>
          <w:tcPr>
            <w:tcW w:w="9209" w:type="dxa"/>
            <w:gridSpan w:val="6"/>
            <w:shd w:val="clear" w:color="auto" w:fill="A5C9EB"/>
            <w:vAlign w:val="center"/>
          </w:tcPr>
          <w:p w14:paraId="55EFA365" w14:textId="77777777" w:rsidR="008F6EAC" w:rsidRPr="00CA5BF3" w:rsidRDefault="008F6EAC" w:rsidP="0077740F">
            <w:pPr>
              <w:jc w:val="center"/>
              <w:rPr>
                <w:rFonts w:eastAsia="Calibri" w:cstheme="minorHAnsi"/>
                <w:b/>
                <w:bCs/>
                <w:sz w:val="32"/>
                <w:szCs w:val="32"/>
              </w:rPr>
            </w:pPr>
            <w:r w:rsidRPr="00CA5BF3">
              <w:rPr>
                <w:rFonts w:eastAsia="Calibri" w:cstheme="minorHAnsi"/>
                <w:b/>
                <w:bCs/>
                <w:sz w:val="32"/>
                <w:szCs w:val="32"/>
              </w:rPr>
              <w:t>INDEKSNI NIZOVI – GRAD POŽEGA</w:t>
            </w:r>
          </w:p>
        </w:tc>
      </w:tr>
      <w:tr w:rsidR="008F6EAC" w:rsidRPr="00CA5BF3" w14:paraId="54BB47C3" w14:textId="77777777" w:rsidTr="0077740F">
        <w:trPr>
          <w:trHeight w:val="582"/>
          <w:jc w:val="center"/>
        </w:trPr>
        <w:tc>
          <w:tcPr>
            <w:tcW w:w="3000" w:type="dxa"/>
            <w:vMerge w:val="restart"/>
            <w:shd w:val="clear" w:color="auto" w:fill="A5C9EB"/>
            <w:vAlign w:val="center"/>
          </w:tcPr>
          <w:p w14:paraId="1C0107CA" w14:textId="77777777" w:rsidR="008F6EAC" w:rsidRPr="00CA5BF3" w:rsidRDefault="008F6EAC" w:rsidP="0077740F">
            <w:pPr>
              <w:rPr>
                <w:rFonts w:eastAsia="Calibri" w:cstheme="minorHAnsi"/>
                <w:b/>
                <w:bCs/>
              </w:rPr>
            </w:pPr>
            <w:r w:rsidRPr="00CA5BF3">
              <w:rPr>
                <w:rFonts w:eastAsia="Calibri" w:cstheme="minorHAnsi"/>
                <w:b/>
                <w:bCs/>
              </w:rPr>
              <w:t>VRSTA NEKRETNINE</w:t>
            </w:r>
          </w:p>
        </w:tc>
        <w:tc>
          <w:tcPr>
            <w:tcW w:w="6209" w:type="dxa"/>
            <w:gridSpan w:val="5"/>
            <w:shd w:val="clear" w:color="auto" w:fill="A5C9EB"/>
            <w:vAlign w:val="center"/>
          </w:tcPr>
          <w:p w14:paraId="6E94923E" w14:textId="77777777" w:rsidR="008F6EAC" w:rsidRPr="00CA5BF3" w:rsidRDefault="008F6EAC" w:rsidP="0077740F">
            <w:pPr>
              <w:jc w:val="center"/>
              <w:rPr>
                <w:rFonts w:eastAsia="Calibri" w:cstheme="minorHAnsi"/>
              </w:rPr>
            </w:pPr>
            <w:r w:rsidRPr="00CA5BF3">
              <w:rPr>
                <w:rFonts w:eastAsia="Calibri" w:cstheme="minorHAnsi"/>
              </w:rPr>
              <w:t>GODINA</w:t>
            </w:r>
          </w:p>
        </w:tc>
      </w:tr>
      <w:tr w:rsidR="008F6EAC" w:rsidRPr="00CA5BF3" w14:paraId="03517B7C" w14:textId="77777777" w:rsidTr="0077740F">
        <w:trPr>
          <w:trHeight w:val="582"/>
          <w:jc w:val="center"/>
        </w:trPr>
        <w:tc>
          <w:tcPr>
            <w:tcW w:w="3000" w:type="dxa"/>
            <w:vMerge/>
            <w:shd w:val="clear" w:color="auto" w:fill="A5C9EB"/>
            <w:vAlign w:val="center"/>
          </w:tcPr>
          <w:p w14:paraId="2FBCEBC4" w14:textId="77777777" w:rsidR="008F6EAC" w:rsidRPr="00CA5BF3" w:rsidRDefault="008F6EAC" w:rsidP="0077740F">
            <w:pPr>
              <w:jc w:val="center"/>
              <w:rPr>
                <w:rFonts w:eastAsia="Calibri" w:cstheme="minorHAnsi"/>
                <w:b/>
                <w:bCs/>
              </w:rPr>
            </w:pPr>
          </w:p>
        </w:tc>
        <w:tc>
          <w:tcPr>
            <w:tcW w:w="1233" w:type="dxa"/>
            <w:shd w:val="clear" w:color="auto" w:fill="A5C9EB"/>
            <w:vAlign w:val="center"/>
          </w:tcPr>
          <w:p w14:paraId="7DAD9591" w14:textId="77777777" w:rsidR="008F6EAC" w:rsidRPr="00CA5BF3" w:rsidRDefault="008F6EAC" w:rsidP="0077740F">
            <w:pPr>
              <w:jc w:val="center"/>
              <w:rPr>
                <w:rFonts w:eastAsia="Calibri" w:cstheme="minorHAnsi"/>
                <w:b/>
                <w:bCs/>
              </w:rPr>
            </w:pPr>
            <w:r w:rsidRPr="00CA5BF3">
              <w:rPr>
                <w:rFonts w:eastAsia="Calibri" w:cstheme="minorHAnsi"/>
                <w:b/>
                <w:bCs/>
              </w:rPr>
              <w:t>2020</w:t>
            </w:r>
          </w:p>
        </w:tc>
        <w:tc>
          <w:tcPr>
            <w:tcW w:w="1339" w:type="dxa"/>
            <w:shd w:val="clear" w:color="auto" w:fill="A5C9EB"/>
            <w:vAlign w:val="center"/>
          </w:tcPr>
          <w:p w14:paraId="074FD3F1" w14:textId="77777777" w:rsidR="008F6EAC" w:rsidRPr="00CA5BF3" w:rsidRDefault="008F6EAC" w:rsidP="0077740F">
            <w:pPr>
              <w:jc w:val="center"/>
              <w:rPr>
                <w:rFonts w:eastAsia="Calibri" w:cstheme="minorHAnsi"/>
                <w:b/>
                <w:bCs/>
              </w:rPr>
            </w:pPr>
            <w:r w:rsidRPr="00CA5BF3">
              <w:rPr>
                <w:rFonts w:eastAsia="Calibri" w:cstheme="minorHAnsi"/>
                <w:b/>
                <w:bCs/>
              </w:rPr>
              <w:t>2021</w:t>
            </w:r>
          </w:p>
        </w:tc>
        <w:tc>
          <w:tcPr>
            <w:tcW w:w="1339" w:type="dxa"/>
            <w:shd w:val="clear" w:color="auto" w:fill="A5C9EB"/>
            <w:vAlign w:val="center"/>
          </w:tcPr>
          <w:p w14:paraId="1C826632" w14:textId="77777777" w:rsidR="008F6EAC" w:rsidRPr="00CA5BF3" w:rsidRDefault="008F6EAC" w:rsidP="0077740F">
            <w:pPr>
              <w:jc w:val="center"/>
              <w:rPr>
                <w:rFonts w:eastAsia="Calibri" w:cstheme="minorHAnsi"/>
                <w:b/>
                <w:bCs/>
              </w:rPr>
            </w:pPr>
            <w:r w:rsidRPr="00CA5BF3">
              <w:rPr>
                <w:rFonts w:eastAsia="Calibri" w:cstheme="minorHAnsi"/>
                <w:b/>
                <w:bCs/>
              </w:rPr>
              <w:t>2022</w:t>
            </w:r>
          </w:p>
        </w:tc>
        <w:tc>
          <w:tcPr>
            <w:tcW w:w="1071" w:type="dxa"/>
            <w:shd w:val="clear" w:color="auto" w:fill="A5C9EB"/>
            <w:vAlign w:val="center"/>
          </w:tcPr>
          <w:p w14:paraId="519754FE" w14:textId="77777777" w:rsidR="008F6EAC" w:rsidRPr="00CA5BF3" w:rsidRDefault="008F6EAC" w:rsidP="0077740F">
            <w:pPr>
              <w:jc w:val="center"/>
              <w:rPr>
                <w:rFonts w:eastAsia="Calibri" w:cstheme="minorHAnsi"/>
                <w:b/>
                <w:bCs/>
              </w:rPr>
            </w:pPr>
            <w:r w:rsidRPr="00CA5BF3">
              <w:rPr>
                <w:rFonts w:eastAsia="Calibri" w:cstheme="minorHAnsi"/>
                <w:b/>
                <w:bCs/>
              </w:rPr>
              <w:t>2023</w:t>
            </w:r>
          </w:p>
        </w:tc>
        <w:tc>
          <w:tcPr>
            <w:tcW w:w="1227" w:type="dxa"/>
            <w:shd w:val="clear" w:color="auto" w:fill="A5C9EB"/>
            <w:vAlign w:val="center"/>
          </w:tcPr>
          <w:p w14:paraId="35A48365" w14:textId="77777777" w:rsidR="008F6EAC" w:rsidRPr="00CA5BF3" w:rsidRDefault="008F6EAC" w:rsidP="0077740F">
            <w:pPr>
              <w:jc w:val="center"/>
              <w:rPr>
                <w:rFonts w:eastAsia="Calibri" w:cstheme="minorHAnsi"/>
                <w:b/>
                <w:bCs/>
              </w:rPr>
            </w:pPr>
            <w:r>
              <w:rPr>
                <w:rFonts w:eastAsia="Calibri" w:cstheme="minorHAnsi"/>
                <w:b/>
                <w:bCs/>
              </w:rPr>
              <w:t>2024</w:t>
            </w:r>
          </w:p>
        </w:tc>
      </w:tr>
      <w:tr w:rsidR="008F6EAC" w:rsidRPr="00CA5BF3" w14:paraId="1AA91B6C" w14:textId="77777777" w:rsidTr="0077740F">
        <w:trPr>
          <w:trHeight w:val="582"/>
          <w:jc w:val="center"/>
        </w:trPr>
        <w:tc>
          <w:tcPr>
            <w:tcW w:w="3000" w:type="dxa"/>
            <w:shd w:val="clear" w:color="auto" w:fill="DAE9F7"/>
            <w:vAlign w:val="center"/>
          </w:tcPr>
          <w:p w14:paraId="67FAE397" w14:textId="77777777" w:rsidR="008F6EAC" w:rsidRPr="00CA5BF3" w:rsidRDefault="008F6EAC" w:rsidP="0077740F">
            <w:pPr>
              <w:rPr>
                <w:rFonts w:eastAsia="Calibri" w:cstheme="minorHAnsi"/>
                <w:b/>
                <w:bCs/>
              </w:rPr>
            </w:pPr>
            <w:r w:rsidRPr="00CA5BF3">
              <w:rPr>
                <w:rFonts w:eastAsia="Calibri" w:cstheme="minorHAnsi"/>
                <w:b/>
                <w:bCs/>
              </w:rPr>
              <w:t>GRAĐEVINSKO ZEMLJIŠTE</w:t>
            </w:r>
          </w:p>
        </w:tc>
        <w:tc>
          <w:tcPr>
            <w:tcW w:w="1233" w:type="dxa"/>
            <w:shd w:val="clear" w:color="auto" w:fill="auto"/>
            <w:vAlign w:val="center"/>
          </w:tcPr>
          <w:p w14:paraId="1EFA03C2" w14:textId="77777777" w:rsidR="008F6EAC" w:rsidRPr="00CA5BF3" w:rsidRDefault="008F6EAC" w:rsidP="0077740F">
            <w:pPr>
              <w:jc w:val="center"/>
              <w:rPr>
                <w:rFonts w:eastAsia="Calibri" w:cstheme="minorHAnsi"/>
              </w:rPr>
            </w:pPr>
            <w:r w:rsidRPr="00CA5BF3">
              <w:rPr>
                <w:rFonts w:eastAsia="Calibri" w:cstheme="minorHAnsi"/>
              </w:rPr>
              <w:t>100,00</w:t>
            </w:r>
          </w:p>
        </w:tc>
        <w:tc>
          <w:tcPr>
            <w:tcW w:w="1339" w:type="dxa"/>
            <w:shd w:val="clear" w:color="auto" w:fill="auto"/>
            <w:vAlign w:val="center"/>
          </w:tcPr>
          <w:p w14:paraId="786EE32B" w14:textId="06DBFF41" w:rsidR="008F6EAC" w:rsidRPr="00CA5BF3" w:rsidRDefault="000E50CA" w:rsidP="0077740F">
            <w:pPr>
              <w:jc w:val="center"/>
              <w:rPr>
                <w:rFonts w:eastAsia="Calibri" w:cstheme="minorHAnsi"/>
              </w:rPr>
            </w:pPr>
            <w:r>
              <w:rPr>
                <w:rFonts w:eastAsia="Calibri" w:cstheme="minorHAnsi"/>
              </w:rPr>
              <w:t>76,65</w:t>
            </w:r>
          </w:p>
        </w:tc>
        <w:tc>
          <w:tcPr>
            <w:tcW w:w="1339" w:type="dxa"/>
            <w:shd w:val="clear" w:color="auto" w:fill="auto"/>
            <w:vAlign w:val="center"/>
          </w:tcPr>
          <w:p w14:paraId="510DE394" w14:textId="7A76B79E" w:rsidR="008F6EAC" w:rsidRPr="00CA5BF3" w:rsidRDefault="000E50CA" w:rsidP="0077740F">
            <w:pPr>
              <w:jc w:val="center"/>
              <w:rPr>
                <w:rFonts w:eastAsia="Calibri" w:cstheme="minorHAnsi"/>
              </w:rPr>
            </w:pPr>
            <w:r>
              <w:rPr>
                <w:rFonts w:eastAsia="Calibri" w:cstheme="minorHAnsi"/>
              </w:rPr>
              <w:t>91,36</w:t>
            </w:r>
          </w:p>
        </w:tc>
        <w:tc>
          <w:tcPr>
            <w:tcW w:w="1071" w:type="dxa"/>
            <w:shd w:val="clear" w:color="auto" w:fill="auto"/>
            <w:vAlign w:val="center"/>
          </w:tcPr>
          <w:p w14:paraId="1CE08174" w14:textId="3337B93C" w:rsidR="008F6EAC" w:rsidRPr="00CA5BF3" w:rsidRDefault="000E50CA" w:rsidP="0077740F">
            <w:pPr>
              <w:jc w:val="center"/>
              <w:rPr>
                <w:rFonts w:eastAsia="Calibri" w:cstheme="minorHAnsi"/>
              </w:rPr>
            </w:pPr>
            <w:r>
              <w:rPr>
                <w:rFonts w:eastAsia="Calibri" w:cstheme="minorHAnsi"/>
              </w:rPr>
              <w:t>109,56</w:t>
            </w:r>
          </w:p>
        </w:tc>
        <w:tc>
          <w:tcPr>
            <w:tcW w:w="1227" w:type="dxa"/>
            <w:shd w:val="clear" w:color="auto" w:fill="auto"/>
            <w:vAlign w:val="center"/>
          </w:tcPr>
          <w:p w14:paraId="6BD30D10" w14:textId="120C6E2E" w:rsidR="008F6EAC" w:rsidRPr="00CA5BF3" w:rsidRDefault="008F6EAC" w:rsidP="0077740F">
            <w:pPr>
              <w:jc w:val="center"/>
              <w:rPr>
                <w:rFonts w:eastAsia="Calibri" w:cstheme="minorHAnsi"/>
              </w:rPr>
            </w:pPr>
            <w:r>
              <w:rPr>
                <w:rFonts w:eastAsia="Calibri" w:cstheme="minorHAnsi"/>
              </w:rPr>
              <w:t>1</w:t>
            </w:r>
            <w:r w:rsidR="000E50CA">
              <w:rPr>
                <w:rFonts w:eastAsia="Calibri" w:cstheme="minorHAnsi"/>
              </w:rPr>
              <w:t>40,46</w:t>
            </w:r>
          </w:p>
        </w:tc>
      </w:tr>
      <w:tr w:rsidR="008F6EAC" w:rsidRPr="00CA5BF3" w14:paraId="48892873" w14:textId="77777777" w:rsidTr="0077740F">
        <w:trPr>
          <w:trHeight w:val="582"/>
          <w:jc w:val="center"/>
        </w:trPr>
        <w:tc>
          <w:tcPr>
            <w:tcW w:w="3000" w:type="dxa"/>
            <w:shd w:val="clear" w:color="auto" w:fill="DAE9F7"/>
            <w:vAlign w:val="center"/>
          </w:tcPr>
          <w:p w14:paraId="648DB468" w14:textId="77777777" w:rsidR="008F6EAC" w:rsidRPr="00CA5BF3" w:rsidRDefault="008F6EAC" w:rsidP="0077740F">
            <w:pPr>
              <w:rPr>
                <w:rFonts w:eastAsia="Calibri" w:cstheme="minorHAnsi"/>
                <w:b/>
                <w:bCs/>
              </w:rPr>
            </w:pPr>
            <w:r w:rsidRPr="00CA5BF3">
              <w:rPr>
                <w:rFonts w:eastAsia="Calibri" w:cstheme="minorHAnsi"/>
                <w:b/>
                <w:bCs/>
              </w:rPr>
              <w:t>POLJOPRIVREDNO ZEMLJIŠTE</w:t>
            </w:r>
          </w:p>
        </w:tc>
        <w:tc>
          <w:tcPr>
            <w:tcW w:w="1233" w:type="dxa"/>
            <w:shd w:val="clear" w:color="auto" w:fill="auto"/>
            <w:vAlign w:val="center"/>
          </w:tcPr>
          <w:p w14:paraId="2B4EE023" w14:textId="77777777" w:rsidR="008F6EAC" w:rsidRPr="00CA5BF3" w:rsidRDefault="008F6EAC" w:rsidP="0077740F">
            <w:pPr>
              <w:jc w:val="center"/>
              <w:rPr>
                <w:rFonts w:eastAsia="Calibri" w:cstheme="minorHAnsi"/>
              </w:rPr>
            </w:pPr>
            <w:r w:rsidRPr="00CA5BF3">
              <w:rPr>
                <w:rFonts w:eastAsia="Calibri" w:cstheme="minorHAnsi"/>
              </w:rPr>
              <w:t>100,00</w:t>
            </w:r>
          </w:p>
        </w:tc>
        <w:tc>
          <w:tcPr>
            <w:tcW w:w="1339" w:type="dxa"/>
            <w:shd w:val="clear" w:color="auto" w:fill="auto"/>
            <w:vAlign w:val="center"/>
          </w:tcPr>
          <w:p w14:paraId="0BF956D7" w14:textId="3F8C68BE" w:rsidR="008F6EAC" w:rsidRPr="00CA5BF3" w:rsidRDefault="008F6EAC" w:rsidP="0077740F">
            <w:pPr>
              <w:jc w:val="center"/>
              <w:rPr>
                <w:rFonts w:eastAsia="Calibri" w:cstheme="minorHAnsi"/>
              </w:rPr>
            </w:pPr>
            <w:r w:rsidRPr="00CA5BF3">
              <w:rPr>
                <w:rFonts w:eastAsia="Calibri" w:cstheme="minorHAnsi"/>
              </w:rPr>
              <w:t>1</w:t>
            </w:r>
            <w:r w:rsidR="000E50CA">
              <w:rPr>
                <w:rFonts w:eastAsia="Calibri" w:cstheme="minorHAnsi"/>
              </w:rPr>
              <w:t>19,20</w:t>
            </w:r>
          </w:p>
        </w:tc>
        <w:tc>
          <w:tcPr>
            <w:tcW w:w="1339" w:type="dxa"/>
            <w:shd w:val="clear" w:color="auto" w:fill="auto"/>
            <w:vAlign w:val="center"/>
          </w:tcPr>
          <w:p w14:paraId="77852B74" w14:textId="583EE541" w:rsidR="008F6EAC" w:rsidRPr="00CA5BF3" w:rsidRDefault="000E50CA" w:rsidP="0077740F">
            <w:pPr>
              <w:jc w:val="center"/>
              <w:rPr>
                <w:rFonts w:eastAsia="Calibri" w:cstheme="minorHAnsi"/>
              </w:rPr>
            </w:pPr>
            <w:r>
              <w:rPr>
                <w:rFonts w:eastAsia="Calibri" w:cstheme="minorHAnsi"/>
              </w:rPr>
              <w:t>114,93</w:t>
            </w:r>
          </w:p>
        </w:tc>
        <w:tc>
          <w:tcPr>
            <w:tcW w:w="1071" w:type="dxa"/>
            <w:shd w:val="clear" w:color="auto" w:fill="auto"/>
            <w:vAlign w:val="center"/>
          </w:tcPr>
          <w:p w14:paraId="4AE0E791" w14:textId="47671BC2" w:rsidR="008F6EAC" w:rsidRPr="00CA5BF3" w:rsidRDefault="008F6EAC" w:rsidP="0077740F">
            <w:pPr>
              <w:jc w:val="center"/>
              <w:rPr>
                <w:rFonts w:eastAsia="Calibri" w:cstheme="minorHAnsi"/>
              </w:rPr>
            </w:pPr>
            <w:r w:rsidRPr="00CA5BF3">
              <w:rPr>
                <w:rFonts w:eastAsia="Calibri" w:cstheme="minorHAnsi"/>
              </w:rPr>
              <w:t>1</w:t>
            </w:r>
            <w:r w:rsidR="000E50CA">
              <w:rPr>
                <w:rFonts w:eastAsia="Calibri" w:cstheme="minorHAnsi"/>
              </w:rPr>
              <w:t>43,11</w:t>
            </w:r>
          </w:p>
        </w:tc>
        <w:tc>
          <w:tcPr>
            <w:tcW w:w="1227" w:type="dxa"/>
            <w:shd w:val="clear" w:color="auto" w:fill="auto"/>
            <w:vAlign w:val="center"/>
          </w:tcPr>
          <w:p w14:paraId="31208B34" w14:textId="4038DCBC" w:rsidR="008F6EAC" w:rsidRPr="00CA5BF3" w:rsidRDefault="008F6EAC" w:rsidP="0077740F">
            <w:pPr>
              <w:jc w:val="center"/>
              <w:rPr>
                <w:rFonts w:eastAsia="Calibri" w:cstheme="minorHAnsi"/>
              </w:rPr>
            </w:pPr>
            <w:r>
              <w:rPr>
                <w:rFonts w:eastAsia="Calibri" w:cstheme="minorHAnsi"/>
              </w:rPr>
              <w:t>1</w:t>
            </w:r>
            <w:r w:rsidR="000E50CA">
              <w:rPr>
                <w:rFonts w:eastAsia="Calibri" w:cstheme="minorHAnsi"/>
              </w:rPr>
              <w:t>41,11</w:t>
            </w:r>
          </w:p>
        </w:tc>
      </w:tr>
      <w:tr w:rsidR="008F6EAC" w:rsidRPr="00CA5BF3" w14:paraId="2A4E1E32" w14:textId="77777777" w:rsidTr="0077740F">
        <w:trPr>
          <w:trHeight w:val="582"/>
          <w:jc w:val="center"/>
        </w:trPr>
        <w:tc>
          <w:tcPr>
            <w:tcW w:w="3000" w:type="dxa"/>
            <w:shd w:val="clear" w:color="auto" w:fill="DAE9F7"/>
            <w:vAlign w:val="center"/>
          </w:tcPr>
          <w:p w14:paraId="5C3CB9F0" w14:textId="77777777" w:rsidR="008F6EAC" w:rsidRPr="00CA5BF3" w:rsidRDefault="008F6EAC" w:rsidP="0077740F">
            <w:pPr>
              <w:rPr>
                <w:rFonts w:eastAsia="Calibri" w:cstheme="minorHAnsi"/>
                <w:b/>
                <w:bCs/>
              </w:rPr>
            </w:pPr>
            <w:r w:rsidRPr="00CA5BF3">
              <w:rPr>
                <w:rFonts w:eastAsia="Calibri" w:cstheme="minorHAnsi"/>
                <w:b/>
                <w:bCs/>
              </w:rPr>
              <w:t>STANOVI/APARTMANI</w:t>
            </w:r>
          </w:p>
        </w:tc>
        <w:tc>
          <w:tcPr>
            <w:tcW w:w="1233" w:type="dxa"/>
            <w:shd w:val="clear" w:color="auto" w:fill="auto"/>
            <w:vAlign w:val="center"/>
          </w:tcPr>
          <w:p w14:paraId="20B61B15" w14:textId="77777777" w:rsidR="008F6EAC" w:rsidRPr="00CA5BF3" w:rsidRDefault="008F6EAC" w:rsidP="0077740F">
            <w:pPr>
              <w:jc w:val="center"/>
              <w:rPr>
                <w:rFonts w:eastAsia="Calibri" w:cstheme="minorHAnsi"/>
              </w:rPr>
            </w:pPr>
            <w:r w:rsidRPr="00CA5BF3">
              <w:rPr>
                <w:rFonts w:eastAsia="Calibri" w:cstheme="minorHAnsi"/>
              </w:rPr>
              <w:t>100,00</w:t>
            </w:r>
          </w:p>
        </w:tc>
        <w:tc>
          <w:tcPr>
            <w:tcW w:w="1339" w:type="dxa"/>
            <w:shd w:val="clear" w:color="auto" w:fill="auto"/>
            <w:vAlign w:val="center"/>
          </w:tcPr>
          <w:p w14:paraId="0539C7E1" w14:textId="3E317857" w:rsidR="008F6EAC" w:rsidRPr="00CA5BF3" w:rsidRDefault="008F6EAC" w:rsidP="0077740F">
            <w:pPr>
              <w:jc w:val="center"/>
              <w:rPr>
                <w:rFonts w:eastAsia="Calibri" w:cstheme="minorHAnsi"/>
              </w:rPr>
            </w:pPr>
            <w:r>
              <w:rPr>
                <w:rFonts w:eastAsia="Calibri" w:cstheme="minorHAnsi"/>
              </w:rPr>
              <w:t>1</w:t>
            </w:r>
            <w:r w:rsidR="000E50CA">
              <w:rPr>
                <w:rFonts w:eastAsia="Calibri" w:cstheme="minorHAnsi"/>
              </w:rPr>
              <w:t>10</w:t>
            </w:r>
            <w:r>
              <w:rPr>
                <w:rFonts w:eastAsia="Calibri" w:cstheme="minorHAnsi"/>
              </w:rPr>
              <w:t>,</w:t>
            </w:r>
            <w:r w:rsidR="000E50CA">
              <w:rPr>
                <w:rFonts w:eastAsia="Calibri" w:cstheme="minorHAnsi"/>
              </w:rPr>
              <w:t>4</w:t>
            </w:r>
            <w:r>
              <w:rPr>
                <w:rFonts w:eastAsia="Calibri" w:cstheme="minorHAnsi"/>
              </w:rPr>
              <w:t>2</w:t>
            </w:r>
          </w:p>
        </w:tc>
        <w:tc>
          <w:tcPr>
            <w:tcW w:w="1339" w:type="dxa"/>
            <w:shd w:val="clear" w:color="auto" w:fill="auto"/>
            <w:vAlign w:val="center"/>
          </w:tcPr>
          <w:p w14:paraId="14B5AEA6" w14:textId="32069257" w:rsidR="008F6EAC" w:rsidRPr="00CA5BF3" w:rsidRDefault="008F6EAC" w:rsidP="0077740F">
            <w:pPr>
              <w:jc w:val="center"/>
              <w:rPr>
                <w:rFonts w:eastAsia="Calibri" w:cstheme="minorHAnsi"/>
              </w:rPr>
            </w:pPr>
            <w:r>
              <w:rPr>
                <w:rFonts w:eastAsia="Calibri" w:cstheme="minorHAnsi"/>
              </w:rPr>
              <w:t>1</w:t>
            </w:r>
            <w:r w:rsidR="000E50CA">
              <w:rPr>
                <w:rFonts w:eastAsia="Calibri" w:cstheme="minorHAnsi"/>
              </w:rPr>
              <w:t>10,10</w:t>
            </w:r>
          </w:p>
        </w:tc>
        <w:tc>
          <w:tcPr>
            <w:tcW w:w="1071" w:type="dxa"/>
            <w:shd w:val="clear" w:color="auto" w:fill="auto"/>
            <w:vAlign w:val="center"/>
          </w:tcPr>
          <w:p w14:paraId="18F9DAB8" w14:textId="5A216079" w:rsidR="008F6EAC" w:rsidRPr="00CA5BF3" w:rsidRDefault="008F6EAC" w:rsidP="0077740F">
            <w:pPr>
              <w:jc w:val="center"/>
              <w:rPr>
                <w:rFonts w:eastAsia="Calibri" w:cstheme="minorHAnsi"/>
              </w:rPr>
            </w:pPr>
            <w:r>
              <w:rPr>
                <w:rFonts w:eastAsia="Calibri" w:cstheme="minorHAnsi"/>
              </w:rPr>
              <w:t>131,2</w:t>
            </w:r>
            <w:r w:rsidR="000E50CA">
              <w:rPr>
                <w:rFonts w:eastAsia="Calibri" w:cstheme="minorHAnsi"/>
              </w:rPr>
              <w:t>1</w:t>
            </w:r>
          </w:p>
        </w:tc>
        <w:tc>
          <w:tcPr>
            <w:tcW w:w="1227" w:type="dxa"/>
            <w:shd w:val="clear" w:color="auto" w:fill="auto"/>
            <w:vAlign w:val="center"/>
          </w:tcPr>
          <w:p w14:paraId="4448721A" w14:textId="0BE88FEB" w:rsidR="008F6EAC" w:rsidRPr="00CA5BF3" w:rsidRDefault="008F6EAC" w:rsidP="0077740F">
            <w:pPr>
              <w:jc w:val="center"/>
              <w:rPr>
                <w:rFonts w:eastAsia="Calibri" w:cstheme="minorHAnsi"/>
              </w:rPr>
            </w:pPr>
            <w:r>
              <w:rPr>
                <w:rFonts w:eastAsia="Calibri" w:cstheme="minorHAnsi"/>
              </w:rPr>
              <w:t>1</w:t>
            </w:r>
            <w:r w:rsidR="000E50CA">
              <w:rPr>
                <w:rFonts w:eastAsia="Calibri" w:cstheme="minorHAnsi"/>
              </w:rPr>
              <w:t>27</w:t>
            </w:r>
            <w:r>
              <w:rPr>
                <w:rFonts w:eastAsia="Calibri" w:cstheme="minorHAnsi"/>
              </w:rPr>
              <w:t>,</w:t>
            </w:r>
            <w:r w:rsidR="000E50CA">
              <w:rPr>
                <w:rFonts w:eastAsia="Calibri" w:cstheme="minorHAnsi"/>
              </w:rPr>
              <w:t>64</w:t>
            </w:r>
          </w:p>
        </w:tc>
      </w:tr>
    </w:tbl>
    <w:p w14:paraId="11E93A56" w14:textId="77777777" w:rsidR="008F6EAC" w:rsidRPr="00CA5BF3" w:rsidRDefault="008F6EAC" w:rsidP="008F6EAC">
      <w:pPr>
        <w:spacing w:after="240"/>
        <w:rPr>
          <w:rFonts w:cstheme="minorHAnsi"/>
        </w:rPr>
      </w:pPr>
    </w:p>
    <w:p w14:paraId="3B6FA45F" w14:textId="340D7456" w:rsidR="008F6EAC" w:rsidRPr="000A7FAB" w:rsidRDefault="008F6EAC" w:rsidP="008F6EAC">
      <w:pPr>
        <w:spacing w:after="240" w:line="276" w:lineRule="auto"/>
        <w:jc w:val="both"/>
        <w:rPr>
          <w:rFonts w:cstheme="minorHAnsi"/>
          <w:b/>
          <w:bCs/>
        </w:rPr>
      </w:pPr>
      <w:r w:rsidRPr="00CA5BF3">
        <w:rPr>
          <w:rFonts w:cstheme="minorHAnsi"/>
          <w:b/>
          <w:bCs/>
        </w:rPr>
        <w:t>Sukladno odredbi članka 12. stavka 1. točke 1. Zakona o procjeni vrijednosti nekretnina, (Narodne novine, broj: 78/15.) (dalje u tekstu: Zakon), Procjeniteljsko povjerenstvo za tržište nekretnina za područje grada Požege</w:t>
      </w:r>
      <w:r w:rsidRPr="00A17C08">
        <w:rPr>
          <w:rFonts w:cstheme="minorHAnsi"/>
          <w:b/>
          <w:bCs/>
        </w:rPr>
        <w:t>, na 3</w:t>
      </w:r>
      <w:r w:rsidR="00A17C08" w:rsidRPr="00A17C08">
        <w:rPr>
          <w:rFonts w:cstheme="minorHAnsi"/>
          <w:b/>
          <w:bCs/>
        </w:rPr>
        <w:t>3</w:t>
      </w:r>
      <w:r w:rsidRPr="00A17C08">
        <w:rPr>
          <w:rFonts w:cstheme="minorHAnsi"/>
          <w:b/>
          <w:bCs/>
        </w:rPr>
        <w:t xml:space="preserve">. sjednici održanoj </w:t>
      </w:r>
      <w:r w:rsidR="009D655A">
        <w:rPr>
          <w:rFonts w:cstheme="minorHAnsi"/>
          <w:b/>
          <w:bCs/>
        </w:rPr>
        <w:t>18. ožujka 2025</w:t>
      </w:r>
      <w:r w:rsidRPr="00A17C08">
        <w:rPr>
          <w:rFonts w:cstheme="minorHAnsi"/>
          <w:b/>
          <w:bCs/>
        </w:rPr>
        <w:t>.</w:t>
      </w:r>
      <w:r w:rsidRPr="00CA5BF3">
        <w:rPr>
          <w:rFonts w:cstheme="minorHAnsi"/>
          <w:b/>
          <w:bCs/>
        </w:rPr>
        <w:t xml:space="preserve"> godine </w:t>
      </w:r>
      <w:r w:rsidRPr="000A7FAB">
        <w:rPr>
          <w:rFonts w:cstheme="minorHAnsi"/>
          <w:b/>
          <w:bCs/>
        </w:rPr>
        <w:t xml:space="preserve">(KLASA: </w:t>
      </w:r>
      <w:r w:rsidR="00F54529" w:rsidRPr="000A7FAB">
        <w:rPr>
          <w:rFonts w:cstheme="minorHAnsi"/>
          <w:b/>
          <w:bCs/>
        </w:rPr>
        <w:t>940-01/25-04/2</w:t>
      </w:r>
      <w:r w:rsidRPr="000A7FAB">
        <w:rPr>
          <w:rFonts w:cstheme="minorHAnsi"/>
          <w:b/>
          <w:bCs/>
        </w:rPr>
        <w:t>, URBROJ: 2177-1-0</w:t>
      </w:r>
      <w:r w:rsidR="000A7FAB" w:rsidRPr="000A7FAB">
        <w:rPr>
          <w:rFonts w:cstheme="minorHAnsi"/>
          <w:b/>
          <w:bCs/>
        </w:rPr>
        <w:t>4-02/1-25-6</w:t>
      </w:r>
      <w:r w:rsidRPr="000A7FAB">
        <w:rPr>
          <w:rFonts w:cstheme="minorHAnsi"/>
          <w:b/>
          <w:bCs/>
        </w:rPr>
        <w:t>) prihvatilo je Indeksne nizove kupoprodajnih cijena nekretnina od 2020. do 202</w:t>
      </w:r>
      <w:r w:rsidR="00A17C08" w:rsidRPr="000A7FAB">
        <w:rPr>
          <w:rFonts w:cstheme="minorHAnsi"/>
          <w:b/>
          <w:bCs/>
        </w:rPr>
        <w:t>4</w:t>
      </w:r>
      <w:r w:rsidRPr="000A7FAB">
        <w:rPr>
          <w:rFonts w:cstheme="minorHAnsi"/>
          <w:b/>
          <w:bCs/>
        </w:rPr>
        <w:t>. godine za područje grada Požege.</w:t>
      </w:r>
    </w:p>
    <w:p w14:paraId="4501B404" w14:textId="11CFBE00" w:rsidR="008F6EAC" w:rsidRPr="00CA5BF3" w:rsidRDefault="008F6EAC" w:rsidP="008F6EAC">
      <w:pPr>
        <w:spacing w:after="240" w:line="276" w:lineRule="auto"/>
        <w:jc w:val="both"/>
        <w:rPr>
          <w:rFonts w:cstheme="minorHAnsi"/>
        </w:rPr>
      </w:pPr>
      <w:r w:rsidRPr="00CA5BF3">
        <w:rPr>
          <w:rFonts w:cstheme="minorHAnsi"/>
        </w:rPr>
        <w:t>Indeksni nizovi kupoprodajnih cijena nekretnina od 2020. do 202</w:t>
      </w:r>
      <w:r w:rsidR="009D655A">
        <w:rPr>
          <w:rFonts w:cstheme="minorHAnsi"/>
        </w:rPr>
        <w:t>4</w:t>
      </w:r>
      <w:r w:rsidRPr="00CA5BF3">
        <w:rPr>
          <w:rFonts w:cstheme="minorHAnsi"/>
        </w:rPr>
        <w:t>. godine za područje grada Požege obuhvaćaju podatke cjelokupnog područja grada Požege (koja čine naselja Alaginci, Bankovci, Ćosine Laze, Crkveni Vrhovci, Dervišaga, Donji Emovci, Drškovci, Emovački Lug, Golobrdci, Gornji Emovci, Gradski Vrhovci, Komušina, Krivaj, Kunovci, Laze Prnjavor, Marindvor, Mihaljevci, Nova Lipa, Novi Mihaljevci, Novi Štitnjak, Novo Selo, Požega, Seoci, Stara Lipa, Šeovci, Škrabutnik, Štitnjak, Turnić, Ugarci, Vasine Laze, Vidovci.</w:t>
      </w:r>
    </w:p>
    <w:p w14:paraId="6D63DFAF" w14:textId="77777777" w:rsidR="008F6EAC" w:rsidRPr="00CA5BF3" w:rsidRDefault="008F6EAC" w:rsidP="008F6EAC">
      <w:pPr>
        <w:spacing w:after="240" w:line="276" w:lineRule="auto"/>
        <w:jc w:val="center"/>
        <w:rPr>
          <w:rFonts w:cstheme="minorHAnsi"/>
        </w:rPr>
      </w:pPr>
      <w:r w:rsidRPr="00CA5BF3">
        <w:rPr>
          <w:rFonts w:cstheme="minorHAnsi"/>
        </w:rPr>
        <w:t>O b r a z l o ž e n j e</w:t>
      </w:r>
    </w:p>
    <w:p w14:paraId="2B891B6F" w14:textId="77777777" w:rsidR="008F6EAC" w:rsidRPr="00CA5BF3" w:rsidRDefault="008F6EAC" w:rsidP="008F6EAC">
      <w:pPr>
        <w:spacing w:after="240" w:line="276" w:lineRule="auto"/>
        <w:ind w:firstLine="567"/>
        <w:jc w:val="both"/>
        <w:rPr>
          <w:rFonts w:cstheme="minorHAnsi"/>
        </w:rPr>
      </w:pPr>
      <w:r w:rsidRPr="00CA5BF3">
        <w:rPr>
          <w:rFonts w:cstheme="minorHAnsi"/>
          <w:b/>
          <w:bCs/>
        </w:rPr>
        <w:t xml:space="preserve">Zakon </w:t>
      </w:r>
      <w:r w:rsidRPr="00CA5BF3">
        <w:rPr>
          <w:rFonts w:cstheme="minorHAnsi"/>
        </w:rPr>
        <w:t xml:space="preserve">u odredbama članka 4. propisuje da su </w:t>
      </w:r>
      <w:r w:rsidRPr="00CA5BF3">
        <w:rPr>
          <w:rFonts w:cstheme="minorHAnsi"/>
          <w:b/>
          <w:bCs/>
        </w:rPr>
        <w:t>indeksni nizovi (bazni indeksi</w:t>
      </w:r>
      <w:r w:rsidRPr="00CA5BF3">
        <w:rPr>
          <w:rFonts w:cstheme="minorHAnsi"/>
        </w:rPr>
        <w:t>) nizovi kojima se prate promjene općih vrijednosnih odnosa na tržištu nekretnina na način da se prosječan odnos cijene nekretnine nekog obuhvaćenog razdoblja stavi u odnos s cijenama nekretnina iz baznog razdoblja s indeksnim brojem 100. Pomoću indeksnih nizova provodi se međuvremensko izjednačenje, odnosno postupak preračunavanja razlika u konjunkturi do kojih dolazi zbog promjena općih vrijednosnih odnosa na tržištu nekretnina tijekom vremena.</w:t>
      </w:r>
    </w:p>
    <w:p w14:paraId="45EE49AA" w14:textId="77777777" w:rsidR="008F6EAC" w:rsidRPr="00CA5BF3" w:rsidRDefault="008F6EAC" w:rsidP="008F6EAC">
      <w:pPr>
        <w:spacing w:after="240" w:line="276" w:lineRule="auto"/>
        <w:ind w:firstLine="567"/>
        <w:jc w:val="both"/>
        <w:rPr>
          <w:rFonts w:cstheme="minorHAnsi"/>
        </w:rPr>
      </w:pPr>
      <w:r w:rsidRPr="00CA5BF3">
        <w:rPr>
          <w:rFonts w:cstheme="minorHAnsi"/>
          <w:b/>
          <w:bCs/>
        </w:rPr>
        <w:t>Pravilnik o metodama procjene vrijednosti nekretnina (Narodne novine, broj: 105/15.)</w:t>
      </w:r>
      <w:r w:rsidRPr="00CA5BF3">
        <w:rPr>
          <w:rFonts w:cstheme="minorHAnsi"/>
        </w:rPr>
        <w:t xml:space="preserve"> (dalje u tekstu Pravilnik) u članku 7. propisuje da je pomoću indeksnih nizova dozvoljeno međuvremensko izjednačenje kupoprodajnih cijena poredbenih nekretnina koje su ugovorene najviše četiri godine unatrag, u odnosu na dan vrednovanja. Članak  23. Pravilnika definira nužne podatke za procjenu vrijednosti nekretnina koji primarno obuhvaćaju kamatne stope na nekretnine, koeficijente za prilagodbu, indeksne nizove (bazne indekse), koeficijente za preračunavanje i poredbene pokazatelje </w:t>
      </w:r>
      <w:r w:rsidRPr="00CA5BF3">
        <w:rPr>
          <w:rFonts w:cstheme="minorHAnsi"/>
        </w:rPr>
        <w:lastRenderedPageBreak/>
        <w:t>za izgrađena zemljišta. Sukladno članku 26. Pravilnika indeksni nizovi (bazni indeksi) izvode se za nekretnine usporedivog položaja i korištenja, a osobito za cijene zemljišta, stanova kao posebnih dijelova nekretnine i obiteljskih kuća.</w:t>
      </w:r>
    </w:p>
    <w:p w14:paraId="618CDE84" w14:textId="77777777" w:rsidR="008F6EAC" w:rsidRPr="00CA5BF3" w:rsidRDefault="008F6EAC" w:rsidP="008F6EAC">
      <w:pPr>
        <w:spacing w:after="240" w:line="276" w:lineRule="auto"/>
        <w:ind w:firstLine="567"/>
        <w:jc w:val="both"/>
        <w:rPr>
          <w:rFonts w:cstheme="minorHAnsi"/>
        </w:rPr>
      </w:pPr>
      <w:r w:rsidRPr="00CA5BF3">
        <w:rPr>
          <w:rFonts w:cstheme="minorHAnsi"/>
        </w:rPr>
        <w:t>Sukladno odredbama članka 12. stavka 1. točke 1., članka 16. stavka 1. točka 3. Zakona, izvođenje i ažuriranje nužnih podataka (u što se ubrajaju indeksni nizovi) je u nadležnosti upravnih tijela i procjeniteljskih povjerenstava. Upravni odjel za komunalne djelatnosti i gospodarenje (nadležno upravno tijelo) pripremio je Procjeniteljskom povjerenstvu za tržište nekretnina za područje Grada Požege prijedlog Indeksnih nizova kupoprodajnih cijena nekretnina od 2020. do 202</w:t>
      </w:r>
      <w:r>
        <w:rPr>
          <w:rFonts w:cstheme="minorHAnsi"/>
        </w:rPr>
        <w:t>4</w:t>
      </w:r>
      <w:r w:rsidRPr="00CA5BF3">
        <w:rPr>
          <w:rFonts w:cstheme="minorHAnsi"/>
        </w:rPr>
        <w:t>. godine za područje Grada Požege za nekretnine iz članka 26. Pravilnika.</w:t>
      </w:r>
    </w:p>
    <w:p w14:paraId="74414D09" w14:textId="77777777" w:rsidR="008F6EAC" w:rsidRDefault="008F6EAC" w:rsidP="008F6EAC">
      <w:pPr>
        <w:spacing w:after="240" w:line="276" w:lineRule="auto"/>
        <w:ind w:firstLine="567"/>
        <w:jc w:val="both"/>
        <w:rPr>
          <w:rFonts w:cstheme="minorHAnsi"/>
        </w:rPr>
      </w:pPr>
      <w:r w:rsidRPr="00CA5BF3">
        <w:rPr>
          <w:rFonts w:cstheme="minorHAnsi"/>
          <w:b/>
          <w:bCs/>
        </w:rPr>
        <w:t>Indeksni nizovi</w:t>
      </w:r>
      <w:r w:rsidRPr="00CA5BF3">
        <w:rPr>
          <w:rFonts w:cstheme="minorHAnsi"/>
        </w:rPr>
        <w:t xml:space="preserve"> izvodili su se na temelju dovoljnog broja podataka prikladnih kupoprodajnih cijena. Korišten je primjer statističke obrade podataka opisan u dokumentu „Metodologiji za izradu Plana približnih vrijednosti zemljišta“. Indeksni nizovi kupoprodajnih cijena nekretnina od 2020. do 202</w:t>
      </w:r>
      <w:r>
        <w:rPr>
          <w:rFonts w:cstheme="minorHAnsi"/>
        </w:rPr>
        <w:t>4</w:t>
      </w:r>
      <w:r w:rsidRPr="00CA5BF3">
        <w:rPr>
          <w:rFonts w:cstheme="minorHAnsi"/>
        </w:rPr>
        <w:t>. godine biti će ugrađeni u Izvješće o tržištu nekretnina za područje Grada Požege za 202</w:t>
      </w:r>
      <w:r>
        <w:rPr>
          <w:rFonts w:cstheme="minorHAnsi"/>
        </w:rPr>
        <w:t>4</w:t>
      </w:r>
      <w:r w:rsidRPr="00CA5BF3">
        <w:rPr>
          <w:rFonts w:cstheme="minorHAnsi"/>
        </w:rPr>
        <w:t>. godinu koje će se objaviti do 31.03.202</w:t>
      </w:r>
      <w:r>
        <w:rPr>
          <w:rFonts w:cstheme="minorHAnsi"/>
        </w:rPr>
        <w:t>5</w:t>
      </w:r>
      <w:r w:rsidRPr="00CA5BF3">
        <w:rPr>
          <w:rFonts w:cstheme="minorHAnsi"/>
        </w:rPr>
        <w:t xml:space="preserve">. godine na mrežnim stranicama Grada Požege. </w:t>
      </w:r>
    </w:p>
    <w:p w14:paraId="08353F5E" w14:textId="77777777" w:rsidR="008F6EAC" w:rsidRDefault="008F6EAC" w:rsidP="008F6EAC">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KLASA: 940-01/25-04/1 </w:t>
      </w:r>
    </w:p>
    <w:p w14:paraId="7DCCBE9B" w14:textId="77777777" w:rsidR="008F6EAC" w:rsidRDefault="008F6EAC" w:rsidP="008F6EAC">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URBROJ: 2177-1-04-02/01-25-1</w:t>
      </w:r>
    </w:p>
    <w:p w14:paraId="32B928C3" w14:textId="77777777" w:rsidR="008F6EAC" w:rsidRPr="0052724F" w:rsidRDefault="008F6EAC" w:rsidP="008F6EAC">
      <w:pPr>
        <w:spacing w:after="240" w:line="276" w:lineRule="auto"/>
        <w:jc w:val="both"/>
        <w:rPr>
          <w:rFonts w:cstheme="minorHAnsi"/>
        </w:rPr>
      </w:pPr>
    </w:p>
    <w:p w14:paraId="045D7C69" w14:textId="77777777" w:rsidR="008F6EAC" w:rsidRPr="009870FA" w:rsidRDefault="008F6EAC" w:rsidP="008F6EAC"/>
    <w:p w14:paraId="117A8B22" w14:textId="77777777" w:rsidR="008F6EAC" w:rsidRPr="0062244E" w:rsidRDefault="008F6EAC" w:rsidP="008F6EAC"/>
    <w:p w14:paraId="3D19D891" w14:textId="77777777" w:rsidR="00E6437B" w:rsidRPr="008F6EAC" w:rsidRDefault="00E6437B" w:rsidP="008F6EAC"/>
    <w:sectPr w:rsidR="00E6437B" w:rsidRPr="008F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7B"/>
    <w:rsid w:val="000530CF"/>
    <w:rsid w:val="000A7FAB"/>
    <w:rsid w:val="000E50CA"/>
    <w:rsid w:val="002C2021"/>
    <w:rsid w:val="003041EC"/>
    <w:rsid w:val="00425E8C"/>
    <w:rsid w:val="0062244E"/>
    <w:rsid w:val="00717AC9"/>
    <w:rsid w:val="007245F2"/>
    <w:rsid w:val="008146D7"/>
    <w:rsid w:val="008E6575"/>
    <w:rsid w:val="008F6EAC"/>
    <w:rsid w:val="00907D2E"/>
    <w:rsid w:val="009870FA"/>
    <w:rsid w:val="00995868"/>
    <w:rsid w:val="009D655A"/>
    <w:rsid w:val="00A17C08"/>
    <w:rsid w:val="00C97C1E"/>
    <w:rsid w:val="00D676A6"/>
    <w:rsid w:val="00E6437B"/>
    <w:rsid w:val="00F5452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3CC5"/>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Pages>
  <Words>600</Words>
  <Characters>3425</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Pavo Štimac</cp:lastModifiedBy>
  <cp:revision>17</cp:revision>
  <cp:lastPrinted>2014-11-26T14:09:00Z</cp:lastPrinted>
  <dcterms:created xsi:type="dcterms:W3CDTF">2022-10-07T08:08:00Z</dcterms:created>
  <dcterms:modified xsi:type="dcterms:W3CDTF">2025-04-11T05:14:00Z</dcterms:modified>
</cp:coreProperties>
</file>