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BF2A52" w14:paraId="7B8AF368" w14:textId="77777777">
        <w:tblPrEx>
          <w:tblCellMar>
            <w:top w:w="0" w:type="dxa"/>
            <w:bottom w:w="0" w:type="dxa"/>
          </w:tblCellMar>
        </w:tblPrEx>
        <w:trPr>
          <w:tblCellSpacing w:w="60" w:type="dxa"/>
        </w:trPr>
        <w:tc>
          <w:tcPr>
            <w:tcW w:w="1200" w:type="pct"/>
            <w:shd w:val="clear" w:color="auto" w:fill="E7F0F9"/>
          </w:tcPr>
          <w:p w14:paraId="27ED098A" w14:textId="77777777" w:rsidR="00BF2A52" w:rsidRDefault="00000000" w:rsidP="00316609">
            <w:pPr>
              <w:spacing w:after="0" w:line="240" w:lineRule="auto"/>
            </w:pPr>
            <w:r>
              <w:rPr>
                <w:b/>
              </w:rPr>
              <w:t>RKP broj</w:t>
            </w:r>
          </w:p>
        </w:tc>
        <w:tc>
          <w:tcPr>
            <w:tcW w:w="0" w:type="auto"/>
            <w:shd w:val="clear" w:color="auto" w:fill="E7F0F9"/>
          </w:tcPr>
          <w:p w14:paraId="4B93AE1A" w14:textId="77777777" w:rsidR="00BF2A52" w:rsidRDefault="00000000" w:rsidP="00316609">
            <w:pPr>
              <w:spacing w:after="0" w:line="240" w:lineRule="auto"/>
            </w:pPr>
            <w:r>
              <w:t>32738</w:t>
            </w:r>
          </w:p>
        </w:tc>
      </w:tr>
      <w:tr w:rsidR="00BF2A52" w14:paraId="143F18D5" w14:textId="77777777">
        <w:tblPrEx>
          <w:tblCellMar>
            <w:top w:w="0" w:type="dxa"/>
            <w:bottom w:w="0" w:type="dxa"/>
          </w:tblCellMar>
        </w:tblPrEx>
        <w:trPr>
          <w:tblCellSpacing w:w="60" w:type="dxa"/>
        </w:trPr>
        <w:tc>
          <w:tcPr>
            <w:tcW w:w="1200" w:type="pct"/>
            <w:shd w:val="clear" w:color="auto" w:fill="E7F0F9"/>
          </w:tcPr>
          <w:p w14:paraId="1CA8E66D" w14:textId="77777777" w:rsidR="00BF2A52" w:rsidRDefault="00000000" w:rsidP="00316609">
            <w:pPr>
              <w:spacing w:after="0" w:line="240" w:lineRule="auto"/>
            </w:pPr>
            <w:r>
              <w:rPr>
                <w:b/>
              </w:rPr>
              <w:t>Naziv obveznika</w:t>
            </w:r>
          </w:p>
        </w:tc>
        <w:tc>
          <w:tcPr>
            <w:tcW w:w="0" w:type="auto"/>
            <w:shd w:val="clear" w:color="auto" w:fill="E7F0F9"/>
          </w:tcPr>
          <w:p w14:paraId="169CB100" w14:textId="77777777" w:rsidR="00BF2A52" w:rsidRDefault="00000000" w:rsidP="00316609">
            <w:pPr>
              <w:spacing w:after="0" w:line="240" w:lineRule="auto"/>
            </w:pPr>
            <w:r>
              <w:t>DJEČJI VRTIĆ POŽEGA</w:t>
            </w:r>
          </w:p>
        </w:tc>
      </w:tr>
      <w:tr w:rsidR="00BF2A52" w14:paraId="40375FE2" w14:textId="77777777">
        <w:tblPrEx>
          <w:tblCellMar>
            <w:top w:w="0" w:type="dxa"/>
            <w:bottom w:w="0" w:type="dxa"/>
          </w:tblCellMar>
        </w:tblPrEx>
        <w:trPr>
          <w:tblCellSpacing w:w="60" w:type="dxa"/>
        </w:trPr>
        <w:tc>
          <w:tcPr>
            <w:tcW w:w="1200" w:type="pct"/>
            <w:shd w:val="clear" w:color="auto" w:fill="E7F0F9"/>
          </w:tcPr>
          <w:p w14:paraId="53A84FF6" w14:textId="77777777" w:rsidR="00BF2A52" w:rsidRDefault="00000000" w:rsidP="00316609">
            <w:pPr>
              <w:spacing w:after="0" w:line="240" w:lineRule="auto"/>
            </w:pPr>
            <w:r>
              <w:rPr>
                <w:b/>
              </w:rPr>
              <w:t>Razina</w:t>
            </w:r>
          </w:p>
        </w:tc>
        <w:tc>
          <w:tcPr>
            <w:tcW w:w="0" w:type="auto"/>
            <w:shd w:val="clear" w:color="auto" w:fill="E7F0F9"/>
          </w:tcPr>
          <w:p w14:paraId="7B106D20" w14:textId="77777777" w:rsidR="00BF2A52" w:rsidRDefault="00000000" w:rsidP="00316609">
            <w:pPr>
              <w:spacing w:after="0" w:line="240" w:lineRule="auto"/>
            </w:pPr>
            <w:r>
              <w:t>21</w:t>
            </w:r>
          </w:p>
        </w:tc>
      </w:tr>
    </w:tbl>
    <w:p w14:paraId="2766334D" w14:textId="77777777" w:rsidR="00BF2A52" w:rsidRDefault="00000000" w:rsidP="00316609">
      <w:pPr>
        <w:spacing w:after="0" w:line="240" w:lineRule="auto"/>
      </w:pPr>
      <w:r>
        <w:br/>
      </w:r>
    </w:p>
    <w:p w14:paraId="16CACE6B" w14:textId="77777777" w:rsidR="00BF2A52" w:rsidRDefault="00000000" w:rsidP="00316609">
      <w:pPr>
        <w:spacing w:after="0" w:line="240" w:lineRule="auto"/>
        <w:jc w:val="center"/>
      </w:pPr>
      <w:r>
        <w:rPr>
          <w:b/>
          <w:sz w:val="28"/>
        </w:rPr>
        <w:t>BILJEŠKE UZ FINANCIJSKE IZVJEŠTAJE</w:t>
      </w:r>
    </w:p>
    <w:p w14:paraId="7D5D903F" w14:textId="77777777" w:rsidR="00BF2A52" w:rsidRDefault="00000000" w:rsidP="00316609">
      <w:pPr>
        <w:spacing w:after="0" w:line="240" w:lineRule="auto"/>
        <w:jc w:val="center"/>
      </w:pPr>
      <w:r>
        <w:rPr>
          <w:b/>
          <w:sz w:val="28"/>
        </w:rPr>
        <w:t>ZA RAZDOBLJE</w:t>
      </w:r>
    </w:p>
    <w:p w14:paraId="0973B5A1" w14:textId="77777777" w:rsidR="00BF2A52" w:rsidRDefault="00000000" w:rsidP="00316609">
      <w:pPr>
        <w:spacing w:after="0" w:line="240" w:lineRule="auto"/>
        <w:jc w:val="center"/>
      </w:pPr>
      <w:r>
        <w:rPr>
          <w:b/>
          <w:sz w:val="28"/>
        </w:rPr>
        <w:t>I - XII 2025.</w:t>
      </w:r>
    </w:p>
    <w:p w14:paraId="370B94F7" w14:textId="77777777" w:rsidR="00BF2A52" w:rsidRDefault="00BF2A52" w:rsidP="00316609">
      <w:pPr>
        <w:spacing w:after="0" w:line="240" w:lineRule="auto"/>
      </w:pPr>
    </w:p>
    <w:p w14:paraId="525E9967" w14:textId="77777777" w:rsidR="00BF2A52" w:rsidRDefault="00000000" w:rsidP="00316609">
      <w:pPr>
        <w:keepNext/>
        <w:spacing w:after="0" w:line="240" w:lineRule="auto"/>
        <w:jc w:val="center"/>
      </w:pPr>
      <w:r>
        <w:rPr>
          <w:b/>
          <w:sz w:val="28"/>
        </w:rPr>
        <w:t>Izvještaj o prihodima i rashodima, primicima i izdacima</w:t>
      </w:r>
    </w:p>
    <w:p w14:paraId="122FDDCF" w14:textId="77777777" w:rsidR="00BF2A52" w:rsidRDefault="00000000" w:rsidP="00316609">
      <w:pPr>
        <w:keepNext/>
        <w:spacing w:after="0"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2A52" w14:paraId="14AE59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5D1C6C" w14:textId="77777777" w:rsidR="00BF2A52" w:rsidRDefault="00000000" w:rsidP="003166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184D59" w14:textId="77777777" w:rsidR="00BF2A52" w:rsidRDefault="00000000" w:rsidP="003166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5C41AC" w14:textId="77777777" w:rsidR="00BF2A52" w:rsidRDefault="00000000" w:rsidP="003166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504485" w14:textId="77777777" w:rsidR="00BF2A52" w:rsidRDefault="00000000" w:rsidP="0031660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615E68" w14:textId="77777777" w:rsidR="00BF2A52" w:rsidRDefault="00000000" w:rsidP="0031660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6FAF8B" w14:textId="77777777" w:rsidR="00BF2A52" w:rsidRDefault="00000000" w:rsidP="00316609">
            <w:pPr>
              <w:keepNext/>
              <w:keepLines/>
              <w:spacing w:after="0" w:line="240" w:lineRule="auto"/>
              <w:jc w:val="center"/>
            </w:pPr>
            <w:r>
              <w:rPr>
                <w:b/>
                <w:sz w:val="18"/>
              </w:rPr>
              <w:t>Indeks (%)</w:t>
            </w:r>
          </w:p>
        </w:tc>
      </w:tr>
      <w:tr w:rsidR="00BF2A52" w14:paraId="3C8BD36A" w14:textId="77777777">
        <w:tblPrEx>
          <w:tblCellMar>
            <w:top w:w="0" w:type="dxa"/>
            <w:bottom w:w="0" w:type="dxa"/>
          </w:tblCellMar>
        </w:tblPrEx>
        <w:trPr>
          <w:cantSplit/>
          <w:trHeight w:val="560"/>
        </w:trPr>
        <w:tc>
          <w:tcPr>
            <w:tcW w:w="700" w:type="dxa"/>
            <w:tcMar>
              <w:top w:w="0" w:type="dxa"/>
              <w:bottom w:w="0" w:type="dxa"/>
            </w:tcMar>
            <w:vAlign w:val="center"/>
          </w:tcPr>
          <w:p w14:paraId="7FB667C0" w14:textId="77777777" w:rsidR="00BF2A52" w:rsidRDefault="00000000" w:rsidP="00316609">
            <w:pPr>
              <w:keepNext/>
              <w:keepLines/>
              <w:spacing w:after="0" w:line="240" w:lineRule="auto"/>
            </w:pPr>
            <w:r>
              <w:rPr>
                <w:sz w:val="18"/>
              </w:rPr>
              <w:t>6</w:t>
            </w:r>
          </w:p>
        </w:tc>
        <w:tc>
          <w:tcPr>
            <w:tcW w:w="3180" w:type="dxa"/>
            <w:tcMar>
              <w:top w:w="0" w:type="dxa"/>
              <w:bottom w:w="0" w:type="dxa"/>
            </w:tcMar>
            <w:vAlign w:val="center"/>
          </w:tcPr>
          <w:p w14:paraId="13B72FC2" w14:textId="77777777" w:rsidR="00BF2A52" w:rsidRDefault="00000000" w:rsidP="00316609">
            <w:pPr>
              <w:keepNext/>
              <w:keepLines/>
              <w:spacing w:after="0" w:line="240" w:lineRule="auto"/>
            </w:pPr>
            <w:r>
              <w:rPr>
                <w:sz w:val="18"/>
              </w:rPr>
              <w:t>PRIHODI POSLOVANJA (šifre 61+62+63+64+65+66+67+68)</w:t>
            </w:r>
          </w:p>
        </w:tc>
        <w:tc>
          <w:tcPr>
            <w:tcW w:w="700" w:type="dxa"/>
            <w:tcMar>
              <w:top w:w="0" w:type="dxa"/>
              <w:bottom w:w="0" w:type="dxa"/>
            </w:tcMar>
            <w:vAlign w:val="center"/>
          </w:tcPr>
          <w:p w14:paraId="75AFD474" w14:textId="77777777" w:rsidR="00BF2A52" w:rsidRDefault="00000000" w:rsidP="00316609">
            <w:pPr>
              <w:keepNext/>
              <w:keepLines/>
              <w:spacing w:after="0" w:line="240" w:lineRule="auto"/>
            </w:pPr>
            <w:r>
              <w:rPr>
                <w:sz w:val="18"/>
              </w:rPr>
              <w:t>6</w:t>
            </w:r>
          </w:p>
        </w:tc>
        <w:tc>
          <w:tcPr>
            <w:tcW w:w="1860" w:type="dxa"/>
            <w:tcMar>
              <w:top w:w="0" w:type="dxa"/>
              <w:bottom w:w="0" w:type="dxa"/>
            </w:tcMar>
            <w:vAlign w:val="center"/>
          </w:tcPr>
          <w:p w14:paraId="75766212" w14:textId="77777777" w:rsidR="00BF2A52" w:rsidRDefault="00000000" w:rsidP="00316609">
            <w:pPr>
              <w:keepNext/>
              <w:keepLines/>
              <w:spacing w:after="0" w:line="240" w:lineRule="auto"/>
              <w:jc w:val="right"/>
            </w:pPr>
            <w:r>
              <w:rPr>
                <w:sz w:val="18"/>
              </w:rPr>
              <w:t>1.795.146,85</w:t>
            </w:r>
          </w:p>
        </w:tc>
        <w:tc>
          <w:tcPr>
            <w:tcW w:w="1860" w:type="dxa"/>
            <w:tcMar>
              <w:top w:w="0" w:type="dxa"/>
              <w:bottom w:w="0" w:type="dxa"/>
            </w:tcMar>
            <w:vAlign w:val="center"/>
          </w:tcPr>
          <w:p w14:paraId="599D3729" w14:textId="77777777" w:rsidR="00BF2A52" w:rsidRDefault="00000000" w:rsidP="00316609">
            <w:pPr>
              <w:keepNext/>
              <w:keepLines/>
              <w:spacing w:after="0" w:line="240" w:lineRule="auto"/>
              <w:jc w:val="right"/>
            </w:pPr>
            <w:r>
              <w:rPr>
                <w:sz w:val="18"/>
              </w:rPr>
              <w:t>2.611.926,05</w:t>
            </w:r>
          </w:p>
        </w:tc>
        <w:tc>
          <w:tcPr>
            <w:tcW w:w="700" w:type="dxa"/>
            <w:tcMar>
              <w:top w:w="0" w:type="dxa"/>
              <w:bottom w:w="0" w:type="dxa"/>
            </w:tcMar>
            <w:vAlign w:val="center"/>
          </w:tcPr>
          <w:p w14:paraId="7F5A0C03" w14:textId="77777777" w:rsidR="00BF2A52" w:rsidRDefault="00000000" w:rsidP="00316609">
            <w:pPr>
              <w:keepNext/>
              <w:keepLines/>
              <w:spacing w:after="0" w:line="240" w:lineRule="auto"/>
              <w:jc w:val="right"/>
            </w:pPr>
            <w:r>
              <w:rPr>
                <w:sz w:val="18"/>
              </w:rPr>
              <w:t>145,5</w:t>
            </w:r>
          </w:p>
        </w:tc>
      </w:tr>
      <w:tr w:rsidR="00BF2A52" w14:paraId="3567FAA4" w14:textId="77777777">
        <w:tblPrEx>
          <w:tblCellMar>
            <w:top w:w="0" w:type="dxa"/>
            <w:bottom w:w="0" w:type="dxa"/>
          </w:tblCellMar>
        </w:tblPrEx>
        <w:trPr>
          <w:cantSplit/>
          <w:trHeight w:val="560"/>
        </w:trPr>
        <w:tc>
          <w:tcPr>
            <w:tcW w:w="700" w:type="dxa"/>
            <w:tcMar>
              <w:top w:w="0" w:type="dxa"/>
              <w:bottom w:w="0" w:type="dxa"/>
            </w:tcMar>
            <w:vAlign w:val="center"/>
          </w:tcPr>
          <w:p w14:paraId="5B3A5AF4" w14:textId="77777777" w:rsidR="00BF2A52" w:rsidRDefault="00000000" w:rsidP="00316609">
            <w:pPr>
              <w:keepNext/>
              <w:keepLines/>
              <w:spacing w:after="0" w:line="240" w:lineRule="auto"/>
            </w:pPr>
            <w:r>
              <w:rPr>
                <w:sz w:val="18"/>
              </w:rPr>
              <w:t>3</w:t>
            </w:r>
          </w:p>
        </w:tc>
        <w:tc>
          <w:tcPr>
            <w:tcW w:w="3180" w:type="dxa"/>
            <w:tcMar>
              <w:top w:w="0" w:type="dxa"/>
              <w:bottom w:w="0" w:type="dxa"/>
            </w:tcMar>
            <w:vAlign w:val="center"/>
          </w:tcPr>
          <w:p w14:paraId="68C02D7C" w14:textId="77777777" w:rsidR="00BF2A52" w:rsidRDefault="00000000" w:rsidP="00316609">
            <w:pPr>
              <w:keepNext/>
              <w:keepLines/>
              <w:spacing w:after="0" w:line="240" w:lineRule="auto"/>
            </w:pPr>
            <w:r>
              <w:rPr>
                <w:sz w:val="18"/>
              </w:rPr>
              <w:t>RASHODI POSLOVANJA (šifre 31+32+34+35+36+37+38)</w:t>
            </w:r>
          </w:p>
        </w:tc>
        <w:tc>
          <w:tcPr>
            <w:tcW w:w="700" w:type="dxa"/>
            <w:tcMar>
              <w:top w:w="0" w:type="dxa"/>
              <w:bottom w:w="0" w:type="dxa"/>
            </w:tcMar>
            <w:vAlign w:val="center"/>
          </w:tcPr>
          <w:p w14:paraId="2F9DEF00" w14:textId="77777777" w:rsidR="00BF2A52" w:rsidRDefault="00000000" w:rsidP="00316609">
            <w:pPr>
              <w:keepNext/>
              <w:keepLines/>
              <w:spacing w:after="0" w:line="240" w:lineRule="auto"/>
            </w:pPr>
            <w:r>
              <w:rPr>
                <w:sz w:val="18"/>
              </w:rPr>
              <w:t>3</w:t>
            </w:r>
          </w:p>
        </w:tc>
        <w:tc>
          <w:tcPr>
            <w:tcW w:w="1860" w:type="dxa"/>
            <w:tcMar>
              <w:top w:w="0" w:type="dxa"/>
              <w:bottom w:w="0" w:type="dxa"/>
            </w:tcMar>
            <w:vAlign w:val="center"/>
          </w:tcPr>
          <w:p w14:paraId="58E69DA1" w14:textId="77777777" w:rsidR="00BF2A52" w:rsidRDefault="00000000" w:rsidP="00316609">
            <w:pPr>
              <w:keepNext/>
              <w:keepLines/>
              <w:spacing w:after="0" w:line="240" w:lineRule="auto"/>
              <w:jc w:val="right"/>
            </w:pPr>
            <w:r>
              <w:rPr>
                <w:sz w:val="18"/>
              </w:rPr>
              <w:t>1.795.624,61</w:t>
            </w:r>
          </w:p>
        </w:tc>
        <w:tc>
          <w:tcPr>
            <w:tcW w:w="1860" w:type="dxa"/>
            <w:tcMar>
              <w:top w:w="0" w:type="dxa"/>
              <w:bottom w:w="0" w:type="dxa"/>
            </w:tcMar>
            <w:vAlign w:val="center"/>
          </w:tcPr>
          <w:p w14:paraId="223A0008" w14:textId="77777777" w:rsidR="00BF2A52" w:rsidRDefault="00000000" w:rsidP="00316609">
            <w:pPr>
              <w:keepNext/>
              <w:keepLines/>
              <w:spacing w:after="0" w:line="240" w:lineRule="auto"/>
              <w:jc w:val="right"/>
            </w:pPr>
            <w:r>
              <w:rPr>
                <w:sz w:val="18"/>
              </w:rPr>
              <w:t>2.808.908,24</w:t>
            </w:r>
          </w:p>
        </w:tc>
        <w:tc>
          <w:tcPr>
            <w:tcW w:w="700" w:type="dxa"/>
            <w:tcMar>
              <w:top w:w="0" w:type="dxa"/>
              <w:bottom w:w="0" w:type="dxa"/>
            </w:tcMar>
            <w:vAlign w:val="center"/>
          </w:tcPr>
          <w:p w14:paraId="262004E1" w14:textId="77777777" w:rsidR="00BF2A52" w:rsidRDefault="00000000" w:rsidP="00316609">
            <w:pPr>
              <w:keepNext/>
              <w:keepLines/>
              <w:spacing w:after="0" w:line="240" w:lineRule="auto"/>
              <w:jc w:val="right"/>
            </w:pPr>
            <w:r>
              <w:rPr>
                <w:sz w:val="18"/>
              </w:rPr>
              <w:t>156,4</w:t>
            </w:r>
          </w:p>
        </w:tc>
      </w:tr>
      <w:tr w:rsidR="00BF2A52" w14:paraId="0AE18725" w14:textId="77777777">
        <w:tblPrEx>
          <w:tblCellMar>
            <w:top w:w="0" w:type="dxa"/>
            <w:bottom w:w="0" w:type="dxa"/>
          </w:tblCellMar>
        </w:tblPrEx>
        <w:trPr>
          <w:cantSplit/>
          <w:trHeight w:val="560"/>
        </w:trPr>
        <w:tc>
          <w:tcPr>
            <w:tcW w:w="700" w:type="dxa"/>
            <w:tcMar>
              <w:top w:w="0" w:type="dxa"/>
              <w:bottom w:w="0" w:type="dxa"/>
            </w:tcMar>
            <w:vAlign w:val="center"/>
          </w:tcPr>
          <w:p w14:paraId="71072351" w14:textId="77777777" w:rsidR="00BF2A52" w:rsidRDefault="00BF2A52" w:rsidP="00316609">
            <w:pPr>
              <w:keepNext/>
              <w:keepLines/>
              <w:spacing w:after="0" w:line="240" w:lineRule="auto"/>
            </w:pPr>
          </w:p>
        </w:tc>
        <w:tc>
          <w:tcPr>
            <w:tcW w:w="3180" w:type="dxa"/>
            <w:tcMar>
              <w:top w:w="0" w:type="dxa"/>
              <w:bottom w:w="0" w:type="dxa"/>
            </w:tcMar>
            <w:vAlign w:val="center"/>
          </w:tcPr>
          <w:p w14:paraId="39E2CE0A" w14:textId="77777777" w:rsidR="00BF2A52" w:rsidRDefault="00000000" w:rsidP="00316609">
            <w:pPr>
              <w:keepNext/>
              <w:keepLines/>
              <w:spacing w:after="0" w:line="240" w:lineRule="auto"/>
            </w:pPr>
            <w:r>
              <w:rPr>
                <w:b/>
                <w:sz w:val="18"/>
              </w:rPr>
              <w:t>MANJAK PRIHODA POSLOVANJA (šifre Z005-6)</w:t>
            </w:r>
          </w:p>
        </w:tc>
        <w:tc>
          <w:tcPr>
            <w:tcW w:w="700" w:type="dxa"/>
            <w:tcMar>
              <w:top w:w="0" w:type="dxa"/>
              <w:bottom w:w="0" w:type="dxa"/>
            </w:tcMar>
            <w:vAlign w:val="center"/>
          </w:tcPr>
          <w:p w14:paraId="4D0739F6" w14:textId="77777777" w:rsidR="00BF2A52" w:rsidRDefault="00000000" w:rsidP="00316609">
            <w:pPr>
              <w:keepNext/>
              <w:keepLines/>
              <w:spacing w:after="0" w:line="240" w:lineRule="auto"/>
            </w:pPr>
            <w:r>
              <w:rPr>
                <w:b/>
                <w:sz w:val="18"/>
              </w:rPr>
              <w:t>Y001</w:t>
            </w:r>
          </w:p>
        </w:tc>
        <w:tc>
          <w:tcPr>
            <w:tcW w:w="1860" w:type="dxa"/>
            <w:tcMar>
              <w:top w:w="0" w:type="dxa"/>
              <w:bottom w:w="0" w:type="dxa"/>
            </w:tcMar>
            <w:vAlign w:val="center"/>
          </w:tcPr>
          <w:p w14:paraId="29477486" w14:textId="77777777" w:rsidR="00BF2A52" w:rsidRDefault="00000000" w:rsidP="00316609">
            <w:pPr>
              <w:keepNext/>
              <w:keepLines/>
              <w:spacing w:after="0" w:line="240" w:lineRule="auto"/>
              <w:jc w:val="right"/>
            </w:pPr>
            <w:r>
              <w:rPr>
                <w:b/>
                <w:sz w:val="18"/>
              </w:rPr>
              <w:t>477,76</w:t>
            </w:r>
          </w:p>
        </w:tc>
        <w:tc>
          <w:tcPr>
            <w:tcW w:w="1860" w:type="dxa"/>
            <w:tcMar>
              <w:top w:w="0" w:type="dxa"/>
              <w:bottom w:w="0" w:type="dxa"/>
            </w:tcMar>
            <w:vAlign w:val="center"/>
          </w:tcPr>
          <w:p w14:paraId="354E1092" w14:textId="77777777" w:rsidR="00BF2A52" w:rsidRDefault="00000000" w:rsidP="00316609">
            <w:pPr>
              <w:keepNext/>
              <w:keepLines/>
              <w:spacing w:after="0" w:line="240" w:lineRule="auto"/>
              <w:jc w:val="right"/>
            </w:pPr>
            <w:r>
              <w:rPr>
                <w:b/>
                <w:sz w:val="18"/>
              </w:rPr>
              <w:t>196.982,19</w:t>
            </w:r>
          </w:p>
        </w:tc>
        <w:tc>
          <w:tcPr>
            <w:tcW w:w="700" w:type="dxa"/>
            <w:tcMar>
              <w:top w:w="0" w:type="dxa"/>
              <w:bottom w:w="0" w:type="dxa"/>
            </w:tcMar>
            <w:vAlign w:val="center"/>
          </w:tcPr>
          <w:p w14:paraId="0EDE8D5B" w14:textId="77777777" w:rsidR="00BF2A52" w:rsidRDefault="00000000" w:rsidP="00316609">
            <w:pPr>
              <w:keepNext/>
              <w:keepLines/>
              <w:spacing w:after="0" w:line="240" w:lineRule="auto"/>
              <w:jc w:val="right"/>
            </w:pPr>
            <w:r>
              <w:rPr>
                <w:b/>
                <w:sz w:val="18"/>
              </w:rPr>
              <w:t>&gt;&gt;100</w:t>
            </w:r>
          </w:p>
        </w:tc>
      </w:tr>
      <w:tr w:rsidR="00BF2A52" w14:paraId="38609342" w14:textId="77777777">
        <w:tblPrEx>
          <w:tblCellMar>
            <w:top w:w="0" w:type="dxa"/>
            <w:bottom w:w="0" w:type="dxa"/>
          </w:tblCellMar>
        </w:tblPrEx>
        <w:trPr>
          <w:cantSplit/>
          <w:trHeight w:val="560"/>
        </w:trPr>
        <w:tc>
          <w:tcPr>
            <w:tcW w:w="700" w:type="dxa"/>
            <w:tcMar>
              <w:top w:w="0" w:type="dxa"/>
              <w:bottom w:w="0" w:type="dxa"/>
            </w:tcMar>
            <w:vAlign w:val="center"/>
          </w:tcPr>
          <w:p w14:paraId="090A5AEE" w14:textId="77777777" w:rsidR="00BF2A52" w:rsidRDefault="00000000" w:rsidP="00316609">
            <w:pPr>
              <w:keepNext/>
              <w:keepLines/>
              <w:spacing w:after="0" w:line="240" w:lineRule="auto"/>
            </w:pPr>
            <w:r>
              <w:rPr>
                <w:sz w:val="18"/>
              </w:rPr>
              <w:t>7</w:t>
            </w:r>
          </w:p>
        </w:tc>
        <w:tc>
          <w:tcPr>
            <w:tcW w:w="3180" w:type="dxa"/>
            <w:tcMar>
              <w:top w:w="0" w:type="dxa"/>
              <w:bottom w:w="0" w:type="dxa"/>
            </w:tcMar>
            <w:vAlign w:val="center"/>
          </w:tcPr>
          <w:p w14:paraId="6D4F10AF" w14:textId="77777777" w:rsidR="00BF2A52" w:rsidRDefault="00000000" w:rsidP="00316609">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0D3FFA92" w14:textId="77777777" w:rsidR="00BF2A52" w:rsidRDefault="00000000" w:rsidP="00316609">
            <w:pPr>
              <w:keepNext/>
              <w:keepLines/>
              <w:spacing w:after="0" w:line="240" w:lineRule="auto"/>
            </w:pPr>
            <w:r>
              <w:rPr>
                <w:sz w:val="18"/>
              </w:rPr>
              <w:t>7</w:t>
            </w:r>
          </w:p>
        </w:tc>
        <w:tc>
          <w:tcPr>
            <w:tcW w:w="1860" w:type="dxa"/>
            <w:tcMar>
              <w:top w:w="0" w:type="dxa"/>
              <w:bottom w:w="0" w:type="dxa"/>
            </w:tcMar>
            <w:vAlign w:val="center"/>
          </w:tcPr>
          <w:p w14:paraId="6A7C6337" w14:textId="77777777" w:rsidR="00BF2A52" w:rsidRDefault="00000000" w:rsidP="00316609">
            <w:pPr>
              <w:keepNext/>
              <w:keepLines/>
              <w:spacing w:after="0" w:line="240" w:lineRule="auto"/>
              <w:jc w:val="right"/>
            </w:pPr>
            <w:r>
              <w:rPr>
                <w:sz w:val="18"/>
              </w:rPr>
              <w:t>0,00</w:t>
            </w:r>
          </w:p>
        </w:tc>
        <w:tc>
          <w:tcPr>
            <w:tcW w:w="1860" w:type="dxa"/>
            <w:tcMar>
              <w:top w:w="0" w:type="dxa"/>
              <w:bottom w:w="0" w:type="dxa"/>
            </w:tcMar>
            <w:vAlign w:val="center"/>
          </w:tcPr>
          <w:p w14:paraId="40F72D51" w14:textId="77777777" w:rsidR="00BF2A52" w:rsidRDefault="00000000" w:rsidP="00316609">
            <w:pPr>
              <w:keepNext/>
              <w:keepLines/>
              <w:spacing w:after="0" w:line="240" w:lineRule="auto"/>
              <w:jc w:val="right"/>
            </w:pPr>
            <w:r>
              <w:rPr>
                <w:sz w:val="18"/>
              </w:rPr>
              <w:t>0,00</w:t>
            </w:r>
          </w:p>
        </w:tc>
        <w:tc>
          <w:tcPr>
            <w:tcW w:w="700" w:type="dxa"/>
            <w:tcMar>
              <w:top w:w="0" w:type="dxa"/>
              <w:bottom w:w="0" w:type="dxa"/>
            </w:tcMar>
            <w:vAlign w:val="center"/>
          </w:tcPr>
          <w:p w14:paraId="65924B53" w14:textId="77777777" w:rsidR="00BF2A52" w:rsidRDefault="00000000" w:rsidP="00316609">
            <w:pPr>
              <w:keepNext/>
              <w:keepLines/>
              <w:spacing w:after="0" w:line="240" w:lineRule="auto"/>
              <w:jc w:val="right"/>
            </w:pPr>
            <w:r>
              <w:rPr>
                <w:sz w:val="18"/>
              </w:rPr>
              <w:t>-</w:t>
            </w:r>
          </w:p>
        </w:tc>
      </w:tr>
      <w:tr w:rsidR="00BF2A52" w14:paraId="0656B91A" w14:textId="77777777">
        <w:tblPrEx>
          <w:tblCellMar>
            <w:top w:w="0" w:type="dxa"/>
            <w:bottom w:w="0" w:type="dxa"/>
          </w:tblCellMar>
        </w:tblPrEx>
        <w:trPr>
          <w:cantSplit/>
          <w:trHeight w:val="560"/>
        </w:trPr>
        <w:tc>
          <w:tcPr>
            <w:tcW w:w="700" w:type="dxa"/>
            <w:tcMar>
              <w:top w:w="0" w:type="dxa"/>
              <w:bottom w:w="0" w:type="dxa"/>
            </w:tcMar>
            <w:vAlign w:val="center"/>
          </w:tcPr>
          <w:p w14:paraId="6BFE183A" w14:textId="77777777" w:rsidR="00BF2A52" w:rsidRDefault="00000000" w:rsidP="00316609">
            <w:pPr>
              <w:keepNext/>
              <w:keepLines/>
              <w:spacing w:after="0" w:line="240" w:lineRule="auto"/>
            </w:pPr>
            <w:r>
              <w:rPr>
                <w:sz w:val="18"/>
              </w:rPr>
              <w:t>4</w:t>
            </w:r>
          </w:p>
        </w:tc>
        <w:tc>
          <w:tcPr>
            <w:tcW w:w="3180" w:type="dxa"/>
            <w:tcMar>
              <w:top w:w="0" w:type="dxa"/>
              <w:bottom w:w="0" w:type="dxa"/>
            </w:tcMar>
            <w:vAlign w:val="center"/>
          </w:tcPr>
          <w:p w14:paraId="0DF44D54" w14:textId="77777777" w:rsidR="00BF2A52" w:rsidRDefault="00000000" w:rsidP="00316609">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047447D" w14:textId="77777777" w:rsidR="00BF2A52" w:rsidRDefault="00000000" w:rsidP="00316609">
            <w:pPr>
              <w:keepNext/>
              <w:keepLines/>
              <w:spacing w:after="0" w:line="240" w:lineRule="auto"/>
            </w:pPr>
            <w:r>
              <w:rPr>
                <w:sz w:val="18"/>
              </w:rPr>
              <w:t>4</w:t>
            </w:r>
          </w:p>
        </w:tc>
        <w:tc>
          <w:tcPr>
            <w:tcW w:w="1860" w:type="dxa"/>
            <w:tcMar>
              <w:top w:w="0" w:type="dxa"/>
              <w:bottom w:w="0" w:type="dxa"/>
            </w:tcMar>
            <w:vAlign w:val="center"/>
          </w:tcPr>
          <w:p w14:paraId="791B595B" w14:textId="77777777" w:rsidR="00BF2A52" w:rsidRDefault="00000000" w:rsidP="00316609">
            <w:pPr>
              <w:keepNext/>
              <w:keepLines/>
              <w:spacing w:after="0" w:line="240" w:lineRule="auto"/>
              <w:jc w:val="right"/>
            </w:pPr>
            <w:r>
              <w:rPr>
                <w:sz w:val="18"/>
              </w:rPr>
              <w:t>4.235,78</w:t>
            </w:r>
          </w:p>
        </w:tc>
        <w:tc>
          <w:tcPr>
            <w:tcW w:w="1860" w:type="dxa"/>
            <w:tcMar>
              <w:top w:w="0" w:type="dxa"/>
              <w:bottom w:w="0" w:type="dxa"/>
            </w:tcMar>
            <w:vAlign w:val="center"/>
          </w:tcPr>
          <w:p w14:paraId="293FF245" w14:textId="77777777" w:rsidR="00BF2A52" w:rsidRDefault="00000000" w:rsidP="00316609">
            <w:pPr>
              <w:keepNext/>
              <w:keepLines/>
              <w:spacing w:after="0" w:line="240" w:lineRule="auto"/>
              <w:jc w:val="right"/>
            </w:pPr>
            <w:r>
              <w:rPr>
                <w:sz w:val="18"/>
              </w:rPr>
              <w:t>5.704,93</w:t>
            </w:r>
          </w:p>
        </w:tc>
        <w:tc>
          <w:tcPr>
            <w:tcW w:w="700" w:type="dxa"/>
            <w:tcMar>
              <w:top w:w="0" w:type="dxa"/>
              <w:bottom w:w="0" w:type="dxa"/>
            </w:tcMar>
            <w:vAlign w:val="center"/>
          </w:tcPr>
          <w:p w14:paraId="153DFE70" w14:textId="77777777" w:rsidR="00BF2A52" w:rsidRDefault="00000000" w:rsidP="00316609">
            <w:pPr>
              <w:keepNext/>
              <w:keepLines/>
              <w:spacing w:after="0" w:line="240" w:lineRule="auto"/>
              <w:jc w:val="right"/>
            </w:pPr>
            <w:r>
              <w:rPr>
                <w:sz w:val="18"/>
              </w:rPr>
              <w:t>134,7</w:t>
            </w:r>
          </w:p>
        </w:tc>
      </w:tr>
      <w:tr w:rsidR="00BF2A52" w14:paraId="7CDCA55B" w14:textId="77777777">
        <w:tblPrEx>
          <w:tblCellMar>
            <w:top w:w="0" w:type="dxa"/>
            <w:bottom w:w="0" w:type="dxa"/>
          </w:tblCellMar>
        </w:tblPrEx>
        <w:trPr>
          <w:cantSplit/>
          <w:trHeight w:val="560"/>
        </w:trPr>
        <w:tc>
          <w:tcPr>
            <w:tcW w:w="700" w:type="dxa"/>
            <w:tcMar>
              <w:top w:w="0" w:type="dxa"/>
              <w:bottom w:w="0" w:type="dxa"/>
            </w:tcMar>
            <w:vAlign w:val="center"/>
          </w:tcPr>
          <w:p w14:paraId="4807C694" w14:textId="77777777" w:rsidR="00BF2A52" w:rsidRDefault="00BF2A52" w:rsidP="00316609">
            <w:pPr>
              <w:keepNext/>
              <w:keepLines/>
              <w:spacing w:after="0" w:line="240" w:lineRule="auto"/>
            </w:pPr>
          </w:p>
        </w:tc>
        <w:tc>
          <w:tcPr>
            <w:tcW w:w="3180" w:type="dxa"/>
            <w:tcMar>
              <w:top w:w="0" w:type="dxa"/>
              <w:bottom w:w="0" w:type="dxa"/>
            </w:tcMar>
            <w:vAlign w:val="center"/>
          </w:tcPr>
          <w:p w14:paraId="6D59F514" w14:textId="77777777" w:rsidR="00BF2A52" w:rsidRDefault="00000000" w:rsidP="00316609">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2F1BEDE3" w14:textId="77777777" w:rsidR="00BF2A52" w:rsidRDefault="00000000" w:rsidP="00316609">
            <w:pPr>
              <w:keepNext/>
              <w:keepLines/>
              <w:spacing w:after="0" w:line="240" w:lineRule="auto"/>
            </w:pPr>
            <w:r>
              <w:rPr>
                <w:b/>
                <w:sz w:val="18"/>
              </w:rPr>
              <w:t>Y002</w:t>
            </w:r>
          </w:p>
        </w:tc>
        <w:tc>
          <w:tcPr>
            <w:tcW w:w="1860" w:type="dxa"/>
            <w:tcMar>
              <w:top w:w="0" w:type="dxa"/>
              <w:bottom w:w="0" w:type="dxa"/>
            </w:tcMar>
            <w:vAlign w:val="center"/>
          </w:tcPr>
          <w:p w14:paraId="5D81ED69" w14:textId="77777777" w:rsidR="00BF2A52" w:rsidRDefault="00000000" w:rsidP="00316609">
            <w:pPr>
              <w:keepNext/>
              <w:keepLines/>
              <w:spacing w:after="0" w:line="240" w:lineRule="auto"/>
              <w:jc w:val="right"/>
            </w:pPr>
            <w:r>
              <w:rPr>
                <w:b/>
                <w:sz w:val="18"/>
              </w:rPr>
              <w:t>4.235,78</w:t>
            </w:r>
          </w:p>
        </w:tc>
        <w:tc>
          <w:tcPr>
            <w:tcW w:w="1860" w:type="dxa"/>
            <w:tcMar>
              <w:top w:w="0" w:type="dxa"/>
              <w:bottom w:w="0" w:type="dxa"/>
            </w:tcMar>
            <w:vAlign w:val="center"/>
          </w:tcPr>
          <w:p w14:paraId="5C7DCE14" w14:textId="77777777" w:rsidR="00BF2A52" w:rsidRDefault="00000000" w:rsidP="00316609">
            <w:pPr>
              <w:keepNext/>
              <w:keepLines/>
              <w:spacing w:after="0" w:line="240" w:lineRule="auto"/>
              <w:jc w:val="right"/>
            </w:pPr>
            <w:r>
              <w:rPr>
                <w:b/>
                <w:sz w:val="18"/>
              </w:rPr>
              <w:t>5.704,93</w:t>
            </w:r>
          </w:p>
        </w:tc>
        <w:tc>
          <w:tcPr>
            <w:tcW w:w="700" w:type="dxa"/>
            <w:tcMar>
              <w:top w:w="0" w:type="dxa"/>
              <w:bottom w:w="0" w:type="dxa"/>
            </w:tcMar>
            <w:vAlign w:val="center"/>
          </w:tcPr>
          <w:p w14:paraId="6157B58C" w14:textId="77777777" w:rsidR="00BF2A52" w:rsidRDefault="00000000" w:rsidP="00316609">
            <w:pPr>
              <w:keepNext/>
              <w:keepLines/>
              <w:spacing w:after="0" w:line="240" w:lineRule="auto"/>
              <w:jc w:val="right"/>
            </w:pPr>
            <w:r>
              <w:rPr>
                <w:b/>
                <w:sz w:val="18"/>
              </w:rPr>
              <w:t>134,7</w:t>
            </w:r>
          </w:p>
        </w:tc>
      </w:tr>
      <w:tr w:rsidR="00BF2A52" w14:paraId="4585D0B7" w14:textId="77777777">
        <w:tblPrEx>
          <w:tblCellMar>
            <w:top w:w="0" w:type="dxa"/>
            <w:bottom w:w="0" w:type="dxa"/>
          </w:tblCellMar>
        </w:tblPrEx>
        <w:trPr>
          <w:cantSplit/>
          <w:trHeight w:val="560"/>
        </w:trPr>
        <w:tc>
          <w:tcPr>
            <w:tcW w:w="700" w:type="dxa"/>
            <w:tcMar>
              <w:top w:w="0" w:type="dxa"/>
              <w:bottom w:w="0" w:type="dxa"/>
            </w:tcMar>
            <w:vAlign w:val="center"/>
          </w:tcPr>
          <w:p w14:paraId="37C08AAC" w14:textId="77777777" w:rsidR="00BF2A52" w:rsidRDefault="00000000" w:rsidP="00316609">
            <w:pPr>
              <w:keepNext/>
              <w:keepLines/>
              <w:spacing w:after="0" w:line="240" w:lineRule="auto"/>
            </w:pPr>
            <w:r>
              <w:rPr>
                <w:sz w:val="18"/>
              </w:rPr>
              <w:t>8</w:t>
            </w:r>
          </w:p>
        </w:tc>
        <w:tc>
          <w:tcPr>
            <w:tcW w:w="3180" w:type="dxa"/>
            <w:tcMar>
              <w:top w:w="0" w:type="dxa"/>
              <w:bottom w:w="0" w:type="dxa"/>
            </w:tcMar>
            <w:vAlign w:val="center"/>
          </w:tcPr>
          <w:p w14:paraId="7094B0A3" w14:textId="77777777" w:rsidR="00BF2A52" w:rsidRDefault="00000000" w:rsidP="00316609">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3495A59" w14:textId="77777777" w:rsidR="00BF2A52" w:rsidRDefault="00000000" w:rsidP="00316609">
            <w:pPr>
              <w:keepNext/>
              <w:keepLines/>
              <w:spacing w:after="0" w:line="240" w:lineRule="auto"/>
            </w:pPr>
            <w:r>
              <w:rPr>
                <w:sz w:val="18"/>
              </w:rPr>
              <w:t>8</w:t>
            </w:r>
          </w:p>
        </w:tc>
        <w:tc>
          <w:tcPr>
            <w:tcW w:w="1860" w:type="dxa"/>
            <w:tcMar>
              <w:top w:w="0" w:type="dxa"/>
              <w:bottom w:w="0" w:type="dxa"/>
            </w:tcMar>
            <w:vAlign w:val="center"/>
          </w:tcPr>
          <w:p w14:paraId="001BC900" w14:textId="77777777" w:rsidR="00BF2A52" w:rsidRDefault="00000000" w:rsidP="00316609">
            <w:pPr>
              <w:keepNext/>
              <w:keepLines/>
              <w:spacing w:after="0" w:line="240" w:lineRule="auto"/>
              <w:jc w:val="right"/>
            </w:pPr>
            <w:r>
              <w:rPr>
                <w:sz w:val="18"/>
              </w:rPr>
              <w:t>0,00</w:t>
            </w:r>
          </w:p>
        </w:tc>
        <w:tc>
          <w:tcPr>
            <w:tcW w:w="1860" w:type="dxa"/>
            <w:tcMar>
              <w:top w:w="0" w:type="dxa"/>
              <w:bottom w:w="0" w:type="dxa"/>
            </w:tcMar>
            <w:vAlign w:val="center"/>
          </w:tcPr>
          <w:p w14:paraId="44FAAF1C" w14:textId="77777777" w:rsidR="00BF2A52" w:rsidRDefault="00000000" w:rsidP="00316609">
            <w:pPr>
              <w:keepNext/>
              <w:keepLines/>
              <w:spacing w:after="0" w:line="240" w:lineRule="auto"/>
              <w:jc w:val="right"/>
            </w:pPr>
            <w:r>
              <w:rPr>
                <w:sz w:val="18"/>
              </w:rPr>
              <w:t>0,00</w:t>
            </w:r>
          </w:p>
        </w:tc>
        <w:tc>
          <w:tcPr>
            <w:tcW w:w="700" w:type="dxa"/>
            <w:tcMar>
              <w:top w:w="0" w:type="dxa"/>
              <w:bottom w:w="0" w:type="dxa"/>
            </w:tcMar>
            <w:vAlign w:val="center"/>
          </w:tcPr>
          <w:p w14:paraId="601CA228" w14:textId="77777777" w:rsidR="00BF2A52" w:rsidRDefault="00000000" w:rsidP="00316609">
            <w:pPr>
              <w:keepNext/>
              <w:keepLines/>
              <w:spacing w:after="0" w:line="240" w:lineRule="auto"/>
              <w:jc w:val="right"/>
            </w:pPr>
            <w:r>
              <w:rPr>
                <w:sz w:val="18"/>
              </w:rPr>
              <w:t>-</w:t>
            </w:r>
          </w:p>
        </w:tc>
      </w:tr>
      <w:tr w:rsidR="00BF2A52" w14:paraId="763FB20D" w14:textId="77777777">
        <w:tblPrEx>
          <w:tblCellMar>
            <w:top w:w="0" w:type="dxa"/>
            <w:bottom w:w="0" w:type="dxa"/>
          </w:tblCellMar>
        </w:tblPrEx>
        <w:trPr>
          <w:cantSplit/>
          <w:trHeight w:val="560"/>
        </w:trPr>
        <w:tc>
          <w:tcPr>
            <w:tcW w:w="700" w:type="dxa"/>
            <w:tcMar>
              <w:top w:w="0" w:type="dxa"/>
              <w:bottom w:w="0" w:type="dxa"/>
            </w:tcMar>
            <w:vAlign w:val="center"/>
          </w:tcPr>
          <w:p w14:paraId="39A4E3CF" w14:textId="77777777" w:rsidR="00BF2A52" w:rsidRDefault="00000000" w:rsidP="00316609">
            <w:pPr>
              <w:keepNext/>
              <w:keepLines/>
              <w:spacing w:after="0" w:line="240" w:lineRule="auto"/>
            </w:pPr>
            <w:r>
              <w:rPr>
                <w:sz w:val="18"/>
              </w:rPr>
              <w:t>5</w:t>
            </w:r>
          </w:p>
        </w:tc>
        <w:tc>
          <w:tcPr>
            <w:tcW w:w="3180" w:type="dxa"/>
            <w:tcMar>
              <w:top w:w="0" w:type="dxa"/>
              <w:bottom w:w="0" w:type="dxa"/>
            </w:tcMar>
            <w:vAlign w:val="center"/>
          </w:tcPr>
          <w:p w14:paraId="05C44230" w14:textId="77777777" w:rsidR="00BF2A52" w:rsidRDefault="00000000" w:rsidP="00316609">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52BD193" w14:textId="77777777" w:rsidR="00BF2A52" w:rsidRDefault="00000000" w:rsidP="00316609">
            <w:pPr>
              <w:keepNext/>
              <w:keepLines/>
              <w:spacing w:after="0" w:line="240" w:lineRule="auto"/>
            </w:pPr>
            <w:r>
              <w:rPr>
                <w:sz w:val="18"/>
              </w:rPr>
              <w:t>5</w:t>
            </w:r>
          </w:p>
        </w:tc>
        <w:tc>
          <w:tcPr>
            <w:tcW w:w="1860" w:type="dxa"/>
            <w:tcMar>
              <w:top w:w="0" w:type="dxa"/>
              <w:bottom w:w="0" w:type="dxa"/>
            </w:tcMar>
            <w:vAlign w:val="center"/>
          </w:tcPr>
          <w:p w14:paraId="0D13DFB4" w14:textId="77777777" w:rsidR="00BF2A52" w:rsidRDefault="00000000" w:rsidP="00316609">
            <w:pPr>
              <w:keepNext/>
              <w:keepLines/>
              <w:spacing w:after="0" w:line="240" w:lineRule="auto"/>
              <w:jc w:val="right"/>
            </w:pPr>
            <w:r>
              <w:rPr>
                <w:sz w:val="18"/>
              </w:rPr>
              <w:t>0,00</w:t>
            </w:r>
          </w:p>
        </w:tc>
        <w:tc>
          <w:tcPr>
            <w:tcW w:w="1860" w:type="dxa"/>
            <w:tcMar>
              <w:top w:w="0" w:type="dxa"/>
              <w:bottom w:w="0" w:type="dxa"/>
            </w:tcMar>
            <w:vAlign w:val="center"/>
          </w:tcPr>
          <w:p w14:paraId="4E79B410" w14:textId="77777777" w:rsidR="00BF2A52" w:rsidRDefault="00000000" w:rsidP="00316609">
            <w:pPr>
              <w:keepNext/>
              <w:keepLines/>
              <w:spacing w:after="0" w:line="240" w:lineRule="auto"/>
              <w:jc w:val="right"/>
            </w:pPr>
            <w:r>
              <w:rPr>
                <w:sz w:val="18"/>
              </w:rPr>
              <w:t>0,00</w:t>
            </w:r>
          </w:p>
        </w:tc>
        <w:tc>
          <w:tcPr>
            <w:tcW w:w="700" w:type="dxa"/>
            <w:tcMar>
              <w:top w:w="0" w:type="dxa"/>
              <w:bottom w:w="0" w:type="dxa"/>
            </w:tcMar>
            <w:vAlign w:val="center"/>
          </w:tcPr>
          <w:p w14:paraId="2DFDA214" w14:textId="77777777" w:rsidR="00BF2A52" w:rsidRDefault="00000000" w:rsidP="00316609">
            <w:pPr>
              <w:keepNext/>
              <w:keepLines/>
              <w:spacing w:after="0" w:line="240" w:lineRule="auto"/>
              <w:jc w:val="right"/>
            </w:pPr>
            <w:r>
              <w:rPr>
                <w:sz w:val="18"/>
              </w:rPr>
              <w:t>-</w:t>
            </w:r>
          </w:p>
        </w:tc>
      </w:tr>
      <w:tr w:rsidR="00BF2A52" w14:paraId="7B13BEB2" w14:textId="77777777">
        <w:tblPrEx>
          <w:tblCellMar>
            <w:top w:w="0" w:type="dxa"/>
            <w:bottom w:w="0" w:type="dxa"/>
          </w:tblCellMar>
        </w:tblPrEx>
        <w:trPr>
          <w:cantSplit/>
          <w:trHeight w:val="560"/>
        </w:trPr>
        <w:tc>
          <w:tcPr>
            <w:tcW w:w="700" w:type="dxa"/>
            <w:tcMar>
              <w:top w:w="0" w:type="dxa"/>
              <w:bottom w:w="0" w:type="dxa"/>
            </w:tcMar>
            <w:vAlign w:val="center"/>
          </w:tcPr>
          <w:p w14:paraId="049EA64C" w14:textId="77777777" w:rsidR="00BF2A52" w:rsidRDefault="00BF2A52" w:rsidP="00316609">
            <w:pPr>
              <w:keepNext/>
              <w:keepLines/>
              <w:spacing w:after="0" w:line="240" w:lineRule="auto"/>
            </w:pPr>
          </w:p>
        </w:tc>
        <w:tc>
          <w:tcPr>
            <w:tcW w:w="3180" w:type="dxa"/>
            <w:tcMar>
              <w:top w:w="0" w:type="dxa"/>
              <w:bottom w:w="0" w:type="dxa"/>
            </w:tcMar>
            <w:vAlign w:val="center"/>
          </w:tcPr>
          <w:p w14:paraId="555E519A" w14:textId="77777777" w:rsidR="00BF2A52" w:rsidRDefault="00000000" w:rsidP="00316609">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1E6D704B" w14:textId="77777777" w:rsidR="00BF2A52" w:rsidRDefault="00000000" w:rsidP="00316609">
            <w:pPr>
              <w:keepNext/>
              <w:keepLines/>
              <w:spacing w:after="0" w:line="240" w:lineRule="auto"/>
            </w:pPr>
            <w:r>
              <w:rPr>
                <w:b/>
                <w:sz w:val="18"/>
              </w:rPr>
              <w:t>X003, Y003</w:t>
            </w:r>
          </w:p>
        </w:tc>
        <w:tc>
          <w:tcPr>
            <w:tcW w:w="1860" w:type="dxa"/>
            <w:tcMar>
              <w:top w:w="0" w:type="dxa"/>
              <w:bottom w:w="0" w:type="dxa"/>
            </w:tcMar>
            <w:vAlign w:val="center"/>
          </w:tcPr>
          <w:p w14:paraId="67799D93" w14:textId="77777777" w:rsidR="00BF2A52" w:rsidRDefault="00000000" w:rsidP="00316609">
            <w:pPr>
              <w:keepNext/>
              <w:keepLines/>
              <w:spacing w:after="0" w:line="240" w:lineRule="auto"/>
              <w:jc w:val="right"/>
            </w:pPr>
            <w:r>
              <w:rPr>
                <w:b/>
                <w:sz w:val="18"/>
              </w:rPr>
              <w:t>0,00</w:t>
            </w:r>
          </w:p>
        </w:tc>
        <w:tc>
          <w:tcPr>
            <w:tcW w:w="1860" w:type="dxa"/>
            <w:tcMar>
              <w:top w:w="0" w:type="dxa"/>
              <w:bottom w:w="0" w:type="dxa"/>
            </w:tcMar>
            <w:vAlign w:val="center"/>
          </w:tcPr>
          <w:p w14:paraId="3F9EF050" w14:textId="77777777" w:rsidR="00BF2A52" w:rsidRDefault="00000000" w:rsidP="00316609">
            <w:pPr>
              <w:keepNext/>
              <w:keepLines/>
              <w:spacing w:after="0" w:line="240" w:lineRule="auto"/>
              <w:jc w:val="right"/>
            </w:pPr>
            <w:r>
              <w:rPr>
                <w:b/>
                <w:sz w:val="18"/>
              </w:rPr>
              <w:t>0,00</w:t>
            </w:r>
          </w:p>
        </w:tc>
        <w:tc>
          <w:tcPr>
            <w:tcW w:w="700" w:type="dxa"/>
            <w:tcMar>
              <w:top w:w="0" w:type="dxa"/>
              <w:bottom w:w="0" w:type="dxa"/>
            </w:tcMar>
            <w:vAlign w:val="center"/>
          </w:tcPr>
          <w:p w14:paraId="4F75F3B8" w14:textId="77777777" w:rsidR="00BF2A52" w:rsidRDefault="00000000" w:rsidP="00316609">
            <w:pPr>
              <w:keepNext/>
              <w:keepLines/>
              <w:spacing w:after="0" w:line="240" w:lineRule="auto"/>
              <w:jc w:val="right"/>
            </w:pPr>
            <w:r>
              <w:rPr>
                <w:b/>
                <w:sz w:val="18"/>
              </w:rPr>
              <w:t>-</w:t>
            </w:r>
          </w:p>
        </w:tc>
      </w:tr>
      <w:tr w:rsidR="00BF2A52" w14:paraId="47ED3A2E" w14:textId="77777777">
        <w:tblPrEx>
          <w:tblCellMar>
            <w:top w:w="0" w:type="dxa"/>
            <w:bottom w:w="0" w:type="dxa"/>
          </w:tblCellMar>
        </w:tblPrEx>
        <w:trPr>
          <w:cantSplit/>
          <w:trHeight w:val="560"/>
        </w:trPr>
        <w:tc>
          <w:tcPr>
            <w:tcW w:w="700" w:type="dxa"/>
            <w:tcMar>
              <w:top w:w="0" w:type="dxa"/>
              <w:bottom w:w="0" w:type="dxa"/>
            </w:tcMar>
            <w:vAlign w:val="center"/>
          </w:tcPr>
          <w:p w14:paraId="3F879F3C" w14:textId="77777777" w:rsidR="00BF2A52" w:rsidRDefault="00BF2A52" w:rsidP="00316609">
            <w:pPr>
              <w:keepNext/>
              <w:keepLines/>
              <w:spacing w:after="0" w:line="240" w:lineRule="auto"/>
            </w:pPr>
          </w:p>
        </w:tc>
        <w:tc>
          <w:tcPr>
            <w:tcW w:w="3180" w:type="dxa"/>
            <w:tcMar>
              <w:top w:w="0" w:type="dxa"/>
              <w:bottom w:w="0" w:type="dxa"/>
            </w:tcMar>
            <w:vAlign w:val="center"/>
          </w:tcPr>
          <w:p w14:paraId="50F4A247" w14:textId="77777777" w:rsidR="00BF2A52" w:rsidRDefault="00000000" w:rsidP="00316609">
            <w:pPr>
              <w:keepNext/>
              <w:keepLines/>
              <w:spacing w:after="0" w:line="240" w:lineRule="auto"/>
            </w:pPr>
            <w:r>
              <w:rPr>
                <w:b/>
                <w:sz w:val="18"/>
              </w:rPr>
              <w:t>MANJAK PRIHODA I PRIMITAKA (šifre Y345-X678)</w:t>
            </w:r>
          </w:p>
        </w:tc>
        <w:tc>
          <w:tcPr>
            <w:tcW w:w="700" w:type="dxa"/>
            <w:tcMar>
              <w:top w:w="0" w:type="dxa"/>
              <w:bottom w:w="0" w:type="dxa"/>
            </w:tcMar>
            <w:vAlign w:val="center"/>
          </w:tcPr>
          <w:p w14:paraId="540263B2" w14:textId="77777777" w:rsidR="00BF2A52" w:rsidRDefault="00000000" w:rsidP="00316609">
            <w:pPr>
              <w:keepNext/>
              <w:keepLines/>
              <w:spacing w:after="0" w:line="240" w:lineRule="auto"/>
            </w:pPr>
            <w:r>
              <w:rPr>
                <w:b/>
                <w:sz w:val="18"/>
              </w:rPr>
              <w:t>Y005</w:t>
            </w:r>
          </w:p>
        </w:tc>
        <w:tc>
          <w:tcPr>
            <w:tcW w:w="1860" w:type="dxa"/>
            <w:tcMar>
              <w:top w:w="0" w:type="dxa"/>
              <w:bottom w:w="0" w:type="dxa"/>
            </w:tcMar>
            <w:vAlign w:val="center"/>
          </w:tcPr>
          <w:p w14:paraId="7AB77EB3" w14:textId="77777777" w:rsidR="00BF2A52" w:rsidRDefault="00000000" w:rsidP="00316609">
            <w:pPr>
              <w:keepNext/>
              <w:keepLines/>
              <w:spacing w:after="0" w:line="240" w:lineRule="auto"/>
              <w:jc w:val="right"/>
            </w:pPr>
            <w:r>
              <w:rPr>
                <w:b/>
                <w:sz w:val="18"/>
              </w:rPr>
              <w:t>4.713,54</w:t>
            </w:r>
          </w:p>
        </w:tc>
        <w:tc>
          <w:tcPr>
            <w:tcW w:w="1860" w:type="dxa"/>
            <w:tcMar>
              <w:top w:w="0" w:type="dxa"/>
              <w:bottom w:w="0" w:type="dxa"/>
            </w:tcMar>
            <w:vAlign w:val="center"/>
          </w:tcPr>
          <w:p w14:paraId="6C848D77" w14:textId="77777777" w:rsidR="00BF2A52" w:rsidRDefault="00000000" w:rsidP="00316609">
            <w:pPr>
              <w:keepNext/>
              <w:keepLines/>
              <w:spacing w:after="0" w:line="240" w:lineRule="auto"/>
              <w:jc w:val="right"/>
            </w:pPr>
            <w:r>
              <w:rPr>
                <w:b/>
                <w:sz w:val="18"/>
              </w:rPr>
              <w:t>202.687,12</w:t>
            </w:r>
          </w:p>
        </w:tc>
        <w:tc>
          <w:tcPr>
            <w:tcW w:w="700" w:type="dxa"/>
            <w:tcMar>
              <w:top w:w="0" w:type="dxa"/>
              <w:bottom w:w="0" w:type="dxa"/>
            </w:tcMar>
            <w:vAlign w:val="center"/>
          </w:tcPr>
          <w:p w14:paraId="3433F28F" w14:textId="77777777" w:rsidR="00BF2A52" w:rsidRDefault="00000000" w:rsidP="00316609">
            <w:pPr>
              <w:keepNext/>
              <w:keepLines/>
              <w:spacing w:after="0" w:line="240" w:lineRule="auto"/>
              <w:jc w:val="right"/>
            </w:pPr>
            <w:r>
              <w:rPr>
                <w:b/>
                <w:sz w:val="18"/>
              </w:rPr>
              <w:t>4300,1</w:t>
            </w:r>
          </w:p>
        </w:tc>
      </w:tr>
    </w:tbl>
    <w:p w14:paraId="72DDD591" w14:textId="77777777" w:rsidR="00BF2A52" w:rsidRDefault="00BF2A52" w:rsidP="00316609">
      <w:pPr>
        <w:spacing w:after="0" w:line="240" w:lineRule="auto"/>
      </w:pPr>
    </w:p>
    <w:p w14:paraId="43571A3B" w14:textId="77777777" w:rsidR="00BF2A52" w:rsidRDefault="00000000" w:rsidP="00316609">
      <w:pPr>
        <w:spacing w:after="0" w:line="240" w:lineRule="auto"/>
        <w:jc w:val="both"/>
      </w:pPr>
      <w:r>
        <w:t>Tijekom 2025. ostvaren je prihod u iznosu 2.611.926,05 eura, rashod u iznosu 2.814.613,17 eura iz čega proizlazi tekući manjak u iznosu 202.687,12 eura. Uzevši u obzir manjak ostvaren u prethodnom razdoblju u iznosu 4.713,54 eura rezultat za prenijeti u sljedeće razdoblje predstavlja manjak u iznosu 207.400,66 eura. Ovaj manjak je u potpunosti metodološki odnosno sastoji se iz neplaćenih obveza iz izvora 1.0 i plaće za prosinac koja je isplaćena u siječnju 2026., a knjižena na rashod u prosincu 2025. (13. plaća).</w:t>
      </w:r>
    </w:p>
    <w:p w14:paraId="7F961B54" w14:textId="77777777" w:rsidR="00BF2A52" w:rsidRDefault="00000000" w:rsidP="00316609">
      <w:pPr>
        <w:spacing w:after="0" w:line="240" w:lineRule="auto"/>
      </w:pPr>
      <w:r>
        <w:br/>
      </w:r>
    </w:p>
    <w:p w14:paraId="3CA353D0" w14:textId="77777777" w:rsidR="00BF2A52" w:rsidRDefault="00000000" w:rsidP="00316609">
      <w:pPr>
        <w:keepNext/>
        <w:spacing w:after="0"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2A52" w14:paraId="0018F3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D3146C" w14:textId="77777777" w:rsidR="00BF2A52" w:rsidRDefault="00000000" w:rsidP="003166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C3667A" w14:textId="77777777" w:rsidR="00BF2A52" w:rsidRDefault="00000000" w:rsidP="003166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3F17BC" w14:textId="77777777" w:rsidR="00BF2A52" w:rsidRDefault="00000000" w:rsidP="003166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7E50BB" w14:textId="77777777" w:rsidR="00BF2A52" w:rsidRDefault="00000000" w:rsidP="0031660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EBC9B6" w14:textId="77777777" w:rsidR="00BF2A52" w:rsidRDefault="00000000" w:rsidP="0031660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A6124D" w14:textId="77777777" w:rsidR="00BF2A52" w:rsidRDefault="00000000" w:rsidP="00316609">
            <w:pPr>
              <w:keepNext/>
              <w:keepLines/>
              <w:spacing w:after="0" w:line="240" w:lineRule="auto"/>
              <w:jc w:val="center"/>
            </w:pPr>
            <w:r>
              <w:rPr>
                <w:b/>
                <w:sz w:val="18"/>
              </w:rPr>
              <w:t>Indeks (%)</w:t>
            </w:r>
          </w:p>
        </w:tc>
      </w:tr>
      <w:tr w:rsidR="00BF2A52" w14:paraId="3BB09345" w14:textId="77777777">
        <w:tblPrEx>
          <w:tblCellMar>
            <w:top w:w="0" w:type="dxa"/>
            <w:bottom w:w="0" w:type="dxa"/>
          </w:tblCellMar>
        </w:tblPrEx>
        <w:trPr>
          <w:cantSplit/>
          <w:trHeight w:val="560"/>
        </w:trPr>
        <w:tc>
          <w:tcPr>
            <w:tcW w:w="700" w:type="dxa"/>
            <w:tcMar>
              <w:top w:w="0" w:type="dxa"/>
              <w:bottom w:w="0" w:type="dxa"/>
            </w:tcMar>
            <w:vAlign w:val="center"/>
          </w:tcPr>
          <w:p w14:paraId="5850EBC2" w14:textId="77777777" w:rsidR="00BF2A52" w:rsidRDefault="00000000" w:rsidP="00316609">
            <w:pPr>
              <w:keepNext/>
              <w:keepLines/>
              <w:spacing w:after="0" w:line="240" w:lineRule="auto"/>
            </w:pPr>
            <w:r>
              <w:rPr>
                <w:sz w:val="18"/>
              </w:rPr>
              <w:t>6526</w:t>
            </w:r>
          </w:p>
        </w:tc>
        <w:tc>
          <w:tcPr>
            <w:tcW w:w="3180" w:type="dxa"/>
            <w:tcMar>
              <w:top w:w="0" w:type="dxa"/>
              <w:bottom w:w="0" w:type="dxa"/>
            </w:tcMar>
            <w:vAlign w:val="center"/>
          </w:tcPr>
          <w:p w14:paraId="33715655" w14:textId="77777777" w:rsidR="00BF2A52" w:rsidRDefault="00000000" w:rsidP="00316609">
            <w:pPr>
              <w:keepNext/>
              <w:keepLines/>
              <w:spacing w:after="0" w:line="240" w:lineRule="auto"/>
            </w:pPr>
            <w:r>
              <w:rPr>
                <w:sz w:val="18"/>
              </w:rPr>
              <w:t>Ostali nespomenuti prihodi</w:t>
            </w:r>
          </w:p>
        </w:tc>
        <w:tc>
          <w:tcPr>
            <w:tcW w:w="700" w:type="dxa"/>
            <w:tcMar>
              <w:top w:w="0" w:type="dxa"/>
              <w:bottom w:w="0" w:type="dxa"/>
            </w:tcMar>
            <w:vAlign w:val="center"/>
          </w:tcPr>
          <w:p w14:paraId="1E09CEBA" w14:textId="77777777" w:rsidR="00BF2A52" w:rsidRDefault="00000000" w:rsidP="00316609">
            <w:pPr>
              <w:keepNext/>
              <w:keepLines/>
              <w:spacing w:after="0" w:line="240" w:lineRule="auto"/>
            </w:pPr>
            <w:r>
              <w:rPr>
                <w:sz w:val="18"/>
              </w:rPr>
              <w:t>6526</w:t>
            </w:r>
          </w:p>
        </w:tc>
        <w:tc>
          <w:tcPr>
            <w:tcW w:w="1860" w:type="dxa"/>
            <w:tcMar>
              <w:top w:w="0" w:type="dxa"/>
              <w:bottom w:w="0" w:type="dxa"/>
            </w:tcMar>
            <w:vAlign w:val="center"/>
          </w:tcPr>
          <w:p w14:paraId="794C72DC" w14:textId="77777777" w:rsidR="00BF2A52" w:rsidRDefault="00000000" w:rsidP="00316609">
            <w:pPr>
              <w:keepNext/>
              <w:keepLines/>
              <w:spacing w:after="0" w:line="240" w:lineRule="auto"/>
              <w:jc w:val="right"/>
            </w:pPr>
            <w:r>
              <w:rPr>
                <w:sz w:val="18"/>
              </w:rPr>
              <w:t>335.803,30</w:t>
            </w:r>
          </w:p>
        </w:tc>
        <w:tc>
          <w:tcPr>
            <w:tcW w:w="1860" w:type="dxa"/>
            <w:tcMar>
              <w:top w:w="0" w:type="dxa"/>
              <w:bottom w:w="0" w:type="dxa"/>
            </w:tcMar>
            <w:vAlign w:val="center"/>
          </w:tcPr>
          <w:p w14:paraId="04DF5218" w14:textId="77777777" w:rsidR="00BF2A52" w:rsidRDefault="00000000" w:rsidP="00316609">
            <w:pPr>
              <w:keepNext/>
              <w:keepLines/>
              <w:spacing w:after="0" w:line="240" w:lineRule="auto"/>
              <w:jc w:val="right"/>
            </w:pPr>
            <w:r>
              <w:rPr>
                <w:sz w:val="18"/>
              </w:rPr>
              <w:t>493.895,69</w:t>
            </w:r>
          </w:p>
        </w:tc>
        <w:tc>
          <w:tcPr>
            <w:tcW w:w="700" w:type="dxa"/>
            <w:tcMar>
              <w:top w:w="0" w:type="dxa"/>
              <w:bottom w:w="0" w:type="dxa"/>
            </w:tcMar>
            <w:vAlign w:val="center"/>
          </w:tcPr>
          <w:p w14:paraId="065D130D" w14:textId="77777777" w:rsidR="00BF2A52" w:rsidRDefault="00000000" w:rsidP="00316609">
            <w:pPr>
              <w:keepNext/>
              <w:keepLines/>
              <w:spacing w:after="0" w:line="240" w:lineRule="auto"/>
              <w:jc w:val="right"/>
            </w:pPr>
            <w:r>
              <w:rPr>
                <w:sz w:val="18"/>
              </w:rPr>
              <w:t>147,1</w:t>
            </w:r>
          </w:p>
        </w:tc>
      </w:tr>
    </w:tbl>
    <w:p w14:paraId="000E84BA" w14:textId="77777777" w:rsidR="00BF2A52" w:rsidRDefault="00BF2A52" w:rsidP="00316609">
      <w:pPr>
        <w:spacing w:after="0" w:line="240" w:lineRule="auto"/>
      </w:pPr>
    </w:p>
    <w:p w14:paraId="4806920F" w14:textId="77777777" w:rsidR="00BF2A52" w:rsidRDefault="00000000" w:rsidP="00316609">
      <w:pPr>
        <w:spacing w:after="0" w:line="240" w:lineRule="auto"/>
        <w:jc w:val="both"/>
      </w:pPr>
      <w:r>
        <w:t>Prihod ostvaren od roditelja za smještaj i odgoj djece u vrtiću. Od 1. rujna 2025. porasla je cijena s 79,63 eura na 120,00 eura po djetetu što dovodi do većeg prihoda. Vrtić pohađa oko 400 djece. </w:t>
      </w:r>
    </w:p>
    <w:p w14:paraId="3F1E3606" w14:textId="77777777" w:rsidR="00BF2A52" w:rsidRDefault="00BF2A52" w:rsidP="00316609">
      <w:pPr>
        <w:spacing w:after="0" w:line="240" w:lineRule="auto"/>
      </w:pPr>
    </w:p>
    <w:p w14:paraId="050B4CDD" w14:textId="77777777" w:rsidR="00BF2A52" w:rsidRDefault="00000000" w:rsidP="00316609">
      <w:pPr>
        <w:keepNext/>
        <w:spacing w:after="0"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2A52" w14:paraId="705CBF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90751B" w14:textId="77777777" w:rsidR="00BF2A52" w:rsidRDefault="00000000" w:rsidP="003166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E956D6" w14:textId="77777777" w:rsidR="00BF2A52" w:rsidRDefault="00000000" w:rsidP="003166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B53B44" w14:textId="77777777" w:rsidR="00BF2A52" w:rsidRDefault="00000000" w:rsidP="003166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AF6C48" w14:textId="77777777" w:rsidR="00BF2A52" w:rsidRDefault="00000000" w:rsidP="0031660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D9D20F" w14:textId="77777777" w:rsidR="00BF2A52" w:rsidRDefault="00000000" w:rsidP="0031660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5C635E" w14:textId="77777777" w:rsidR="00BF2A52" w:rsidRDefault="00000000" w:rsidP="00316609">
            <w:pPr>
              <w:keepNext/>
              <w:keepLines/>
              <w:spacing w:after="0" w:line="240" w:lineRule="auto"/>
              <w:jc w:val="center"/>
            </w:pPr>
            <w:r>
              <w:rPr>
                <w:b/>
                <w:sz w:val="18"/>
              </w:rPr>
              <w:t>Indeks (%)</w:t>
            </w:r>
          </w:p>
        </w:tc>
      </w:tr>
      <w:tr w:rsidR="00BF2A52" w14:paraId="0767B1FC" w14:textId="77777777">
        <w:tblPrEx>
          <w:tblCellMar>
            <w:top w:w="0" w:type="dxa"/>
            <w:bottom w:w="0" w:type="dxa"/>
          </w:tblCellMar>
        </w:tblPrEx>
        <w:trPr>
          <w:cantSplit/>
          <w:trHeight w:val="560"/>
        </w:trPr>
        <w:tc>
          <w:tcPr>
            <w:tcW w:w="700" w:type="dxa"/>
            <w:tcMar>
              <w:top w:w="0" w:type="dxa"/>
              <w:bottom w:w="0" w:type="dxa"/>
            </w:tcMar>
            <w:vAlign w:val="center"/>
          </w:tcPr>
          <w:p w14:paraId="31288DDE" w14:textId="77777777" w:rsidR="00BF2A52" w:rsidRDefault="00000000" w:rsidP="00316609">
            <w:pPr>
              <w:keepNext/>
              <w:keepLines/>
              <w:spacing w:after="0" w:line="240" w:lineRule="auto"/>
            </w:pPr>
            <w:r>
              <w:rPr>
                <w:sz w:val="18"/>
              </w:rPr>
              <w:t>6711</w:t>
            </w:r>
          </w:p>
        </w:tc>
        <w:tc>
          <w:tcPr>
            <w:tcW w:w="3180" w:type="dxa"/>
            <w:tcMar>
              <w:top w:w="0" w:type="dxa"/>
              <w:bottom w:w="0" w:type="dxa"/>
            </w:tcMar>
            <w:vAlign w:val="center"/>
          </w:tcPr>
          <w:p w14:paraId="7BD74C65" w14:textId="77777777" w:rsidR="00BF2A52" w:rsidRDefault="00000000" w:rsidP="00316609">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0D9ABB3A" w14:textId="77777777" w:rsidR="00BF2A52" w:rsidRDefault="00000000" w:rsidP="00316609">
            <w:pPr>
              <w:keepNext/>
              <w:keepLines/>
              <w:spacing w:after="0" w:line="240" w:lineRule="auto"/>
            </w:pPr>
            <w:r>
              <w:rPr>
                <w:sz w:val="18"/>
              </w:rPr>
              <w:t>6711</w:t>
            </w:r>
          </w:p>
        </w:tc>
        <w:tc>
          <w:tcPr>
            <w:tcW w:w="1860" w:type="dxa"/>
            <w:tcMar>
              <w:top w:w="0" w:type="dxa"/>
              <w:bottom w:w="0" w:type="dxa"/>
            </w:tcMar>
            <w:vAlign w:val="center"/>
          </w:tcPr>
          <w:p w14:paraId="040D4F5B" w14:textId="77777777" w:rsidR="00BF2A52" w:rsidRDefault="00000000" w:rsidP="00316609">
            <w:pPr>
              <w:keepNext/>
              <w:keepLines/>
              <w:spacing w:after="0" w:line="240" w:lineRule="auto"/>
              <w:jc w:val="right"/>
            </w:pPr>
            <w:r>
              <w:rPr>
                <w:sz w:val="18"/>
              </w:rPr>
              <w:t>1.438.973,05</w:t>
            </w:r>
          </w:p>
        </w:tc>
        <w:tc>
          <w:tcPr>
            <w:tcW w:w="1860" w:type="dxa"/>
            <w:tcMar>
              <w:top w:w="0" w:type="dxa"/>
              <w:bottom w:w="0" w:type="dxa"/>
            </w:tcMar>
            <w:vAlign w:val="center"/>
          </w:tcPr>
          <w:p w14:paraId="0DA9FAC7" w14:textId="77777777" w:rsidR="00BF2A52" w:rsidRDefault="00000000" w:rsidP="00316609">
            <w:pPr>
              <w:keepNext/>
              <w:keepLines/>
              <w:spacing w:after="0" w:line="240" w:lineRule="auto"/>
              <w:jc w:val="right"/>
            </w:pPr>
            <w:r>
              <w:rPr>
                <w:sz w:val="18"/>
              </w:rPr>
              <w:t>2.091.618,60</w:t>
            </w:r>
          </w:p>
        </w:tc>
        <w:tc>
          <w:tcPr>
            <w:tcW w:w="700" w:type="dxa"/>
            <w:tcMar>
              <w:top w:w="0" w:type="dxa"/>
              <w:bottom w:w="0" w:type="dxa"/>
            </w:tcMar>
            <w:vAlign w:val="center"/>
          </w:tcPr>
          <w:p w14:paraId="4D0657EB" w14:textId="77777777" w:rsidR="00BF2A52" w:rsidRDefault="00000000" w:rsidP="00316609">
            <w:pPr>
              <w:keepNext/>
              <w:keepLines/>
              <w:spacing w:after="0" w:line="240" w:lineRule="auto"/>
              <w:jc w:val="right"/>
            </w:pPr>
            <w:r>
              <w:rPr>
                <w:sz w:val="18"/>
              </w:rPr>
              <w:t>145,4</w:t>
            </w:r>
          </w:p>
        </w:tc>
      </w:tr>
    </w:tbl>
    <w:p w14:paraId="3023BB55" w14:textId="77777777" w:rsidR="00BF2A52" w:rsidRDefault="00BF2A52" w:rsidP="00316609">
      <w:pPr>
        <w:spacing w:after="0" w:line="240" w:lineRule="auto"/>
      </w:pPr>
    </w:p>
    <w:p w14:paraId="65D67ADA" w14:textId="77777777" w:rsidR="00BF2A52" w:rsidRDefault="00000000" w:rsidP="00316609">
      <w:pPr>
        <w:spacing w:after="0" w:line="240" w:lineRule="auto"/>
        <w:jc w:val="both"/>
      </w:pPr>
      <w:r>
        <w:t>Dječji vrtić Požega u sustavu je lokalne riznice. Na kontu 6711 evidentiran je iznos koji se odnosi na rashoda iz izvora 1.0. odnosno iz gradskog proračuna. Na povećanje iznose ovoga konta utječe povećanje osnovice plaće za državne službenike temeljem Temeljnog kolektivnog ugovora za državne službenike i namještenike te povećan broj djelatnika zbog otvaranje nove lokacije vrtića. </w:t>
      </w:r>
    </w:p>
    <w:p w14:paraId="7033E844" w14:textId="77777777" w:rsidR="00BF2A52" w:rsidRDefault="00BF2A52" w:rsidP="00316609">
      <w:pPr>
        <w:spacing w:after="0" w:line="240" w:lineRule="auto"/>
      </w:pPr>
    </w:p>
    <w:p w14:paraId="12626833" w14:textId="77777777" w:rsidR="00BF2A52" w:rsidRDefault="00000000" w:rsidP="00316609">
      <w:pPr>
        <w:keepNext/>
        <w:spacing w:after="0"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2A52" w14:paraId="78AC0E9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442ACA" w14:textId="77777777" w:rsidR="00BF2A52" w:rsidRDefault="00000000" w:rsidP="003166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2A856A" w14:textId="77777777" w:rsidR="00BF2A52" w:rsidRDefault="00000000" w:rsidP="003166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4CFAEA" w14:textId="77777777" w:rsidR="00BF2A52" w:rsidRDefault="00000000" w:rsidP="003166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42C0D1" w14:textId="77777777" w:rsidR="00BF2A52" w:rsidRDefault="00000000" w:rsidP="0031660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EBFBA7" w14:textId="77777777" w:rsidR="00BF2A52" w:rsidRDefault="00000000" w:rsidP="0031660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21F475" w14:textId="77777777" w:rsidR="00BF2A52" w:rsidRDefault="00000000" w:rsidP="00316609">
            <w:pPr>
              <w:keepNext/>
              <w:keepLines/>
              <w:spacing w:after="0" w:line="240" w:lineRule="auto"/>
              <w:jc w:val="center"/>
            </w:pPr>
            <w:r>
              <w:rPr>
                <w:b/>
                <w:sz w:val="18"/>
              </w:rPr>
              <w:t>Indeks (%)</w:t>
            </w:r>
          </w:p>
        </w:tc>
      </w:tr>
      <w:tr w:rsidR="00BF2A52" w14:paraId="282652CD" w14:textId="77777777">
        <w:tblPrEx>
          <w:tblCellMar>
            <w:top w:w="0" w:type="dxa"/>
            <w:bottom w:w="0" w:type="dxa"/>
          </w:tblCellMar>
        </w:tblPrEx>
        <w:trPr>
          <w:cantSplit/>
          <w:trHeight w:val="560"/>
        </w:trPr>
        <w:tc>
          <w:tcPr>
            <w:tcW w:w="700" w:type="dxa"/>
            <w:tcMar>
              <w:top w:w="0" w:type="dxa"/>
              <w:bottom w:w="0" w:type="dxa"/>
            </w:tcMar>
            <w:vAlign w:val="center"/>
          </w:tcPr>
          <w:p w14:paraId="7BB8617D" w14:textId="77777777" w:rsidR="00BF2A52" w:rsidRDefault="00000000" w:rsidP="00316609">
            <w:pPr>
              <w:keepNext/>
              <w:keepLines/>
              <w:spacing w:after="0" w:line="240" w:lineRule="auto"/>
            </w:pPr>
            <w:r>
              <w:rPr>
                <w:sz w:val="18"/>
              </w:rPr>
              <w:t>31</w:t>
            </w:r>
          </w:p>
        </w:tc>
        <w:tc>
          <w:tcPr>
            <w:tcW w:w="3180" w:type="dxa"/>
            <w:tcMar>
              <w:top w:w="0" w:type="dxa"/>
              <w:bottom w:w="0" w:type="dxa"/>
            </w:tcMar>
            <w:vAlign w:val="center"/>
          </w:tcPr>
          <w:p w14:paraId="6B80DFE2" w14:textId="77777777" w:rsidR="00BF2A52" w:rsidRDefault="00000000" w:rsidP="00316609">
            <w:pPr>
              <w:keepNext/>
              <w:keepLines/>
              <w:spacing w:after="0" w:line="240" w:lineRule="auto"/>
            </w:pPr>
            <w:r>
              <w:rPr>
                <w:sz w:val="18"/>
              </w:rPr>
              <w:t>Rashodi za zaposlene (šifre 311+312+313)</w:t>
            </w:r>
          </w:p>
        </w:tc>
        <w:tc>
          <w:tcPr>
            <w:tcW w:w="700" w:type="dxa"/>
            <w:tcMar>
              <w:top w:w="0" w:type="dxa"/>
              <w:bottom w:w="0" w:type="dxa"/>
            </w:tcMar>
            <w:vAlign w:val="center"/>
          </w:tcPr>
          <w:p w14:paraId="4A19DB76" w14:textId="77777777" w:rsidR="00BF2A52" w:rsidRDefault="00000000" w:rsidP="00316609">
            <w:pPr>
              <w:keepNext/>
              <w:keepLines/>
              <w:spacing w:after="0" w:line="240" w:lineRule="auto"/>
            </w:pPr>
            <w:r>
              <w:rPr>
                <w:sz w:val="18"/>
              </w:rPr>
              <w:t>31</w:t>
            </w:r>
          </w:p>
        </w:tc>
        <w:tc>
          <w:tcPr>
            <w:tcW w:w="1860" w:type="dxa"/>
            <w:tcMar>
              <w:top w:w="0" w:type="dxa"/>
              <w:bottom w:w="0" w:type="dxa"/>
            </w:tcMar>
            <w:vAlign w:val="center"/>
          </w:tcPr>
          <w:p w14:paraId="5D05092B" w14:textId="77777777" w:rsidR="00BF2A52" w:rsidRDefault="00000000" w:rsidP="00316609">
            <w:pPr>
              <w:keepNext/>
              <w:keepLines/>
              <w:spacing w:after="0" w:line="240" w:lineRule="auto"/>
              <w:jc w:val="right"/>
            </w:pPr>
            <w:r>
              <w:rPr>
                <w:sz w:val="18"/>
              </w:rPr>
              <w:t>1.571.662,72</w:t>
            </w:r>
          </w:p>
        </w:tc>
        <w:tc>
          <w:tcPr>
            <w:tcW w:w="1860" w:type="dxa"/>
            <w:tcMar>
              <w:top w:w="0" w:type="dxa"/>
              <w:bottom w:w="0" w:type="dxa"/>
            </w:tcMar>
            <w:vAlign w:val="center"/>
          </w:tcPr>
          <w:p w14:paraId="253DA584" w14:textId="77777777" w:rsidR="00BF2A52" w:rsidRDefault="00000000" w:rsidP="00316609">
            <w:pPr>
              <w:keepNext/>
              <w:keepLines/>
              <w:spacing w:after="0" w:line="240" w:lineRule="auto"/>
              <w:jc w:val="right"/>
            </w:pPr>
            <w:r>
              <w:rPr>
                <w:sz w:val="18"/>
              </w:rPr>
              <w:t>2.517.463,49</w:t>
            </w:r>
          </w:p>
        </w:tc>
        <w:tc>
          <w:tcPr>
            <w:tcW w:w="700" w:type="dxa"/>
            <w:tcMar>
              <w:top w:w="0" w:type="dxa"/>
              <w:bottom w:w="0" w:type="dxa"/>
            </w:tcMar>
            <w:vAlign w:val="center"/>
          </w:tcPr>
          <w:p w14:paraId="49038C33" w14:textId="77777777" w:rsidR="00BF2A52" w:rsidRDefault="00000000" w:rsidP="00316609">
            <w:pPr>
              <w:keepNext/>
              <w:keepLines/>
              <w:spacing w:after="0" w:line="240" w:lineRule="auto"/>
              <w:jc w:val="right"/>
            </w:pPr>
            <w:r>
              <w:rPr>
                <w:sz w:val="18"/>
              </w:rPr>
              <w:t>160,2</w:t>
            </w:r>
          </w:p>
        </w:tc>
      </w:tr>
    </w:tbl>
    <w:p w14:paraId="614346E1" w14:textId="77777777" w:rsidR="00BF2A52" w:rsidRDefault="00BF2A52" w:rsidP="00316609">
      <w:pPr>
        <w:spacing w:after="0" w:line="240" w:lineRule="auto"/>
      </w:pPr>
    </w:p>
    <w:p w14:paraId="6D031FB8" w14:textId="77777777" w:rsidR="00BF2A52" w:rsidRDefault="00000000" w:rsidP="00316609">
      <w:pPr>
        <w:spacing w:after="0" w:line="240" w:lineRule="auto"/>
        <w:jc w:val="both"/>
      </w:pPr>
      <w:r>
        <w:t>Rashod je značajno veći u odnosu na prethodno razdoblje jer je otvorena nova lokacija vrtića i tom je prilikom zaposleno oko 30-ak novih djelatnika. Također, Kolektivnim je ugovorom dogovoreno usklađenja osnovice plaće s osnovicom plaće državnih službenika. Ista je tijekom 2025. rasla u tri navrata. </w:t>
      </w:r>
    </w:p>
    <w:p w14:paraId="2BE4CAF5" w14:textId="77777777" w:rsidR="00BF2A52" w:rsidRDefault="00BF2A52" w:rsidP="00316609">
      <w:pPr>
        <w:spacing w:after="0" w:line="240" w:lineRule="auto"/>
      </w:pPr>
    </w:p>
    <w:p w14:paraId="034AEF40" w14:textId="77777777" w:rsidR="00BF2A52" w:rsidRDefault="00000000" w:rsidP="00316609">
      <w:pPr>
        <w:keepNext/>
        <w:spacing w:after="0"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2A52" w14:paraId="2744EB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C92059" w14:textId="77777777" w:rsidR="00BF2A52" w:rsidRDefault="00000000" w:rsidP="003166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EAD5B7" w14:textId="77777777" w:rsidR="00BF2A52" w:rsidRDefault="00000000" w:rsidP="003166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15C717" w14:textId="77777777" w:rsidR="00BF2A52" w:rsidRDefault="00000000" w:rsidP="003166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838FB4" w14:textId="77777777" w:rsidR="00BF2A52" w:rsidRDefault="00000000" w:rsidP="0031660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2CB7C6" w14:textId="77777777" w:rsidR="00BF2A52" w:rsidRDefault="00000000" w:rsidP="0031660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92D010" w14:textId="77777777" w:rsidR="00BF2A52" w:rsidRDefault="00000000" w:rsidP="00316609">
            <w:pPr>
              <w:keepNext/>
              <w:keepLines/>
              <w:spacing w:after="0" w:line="240" w:lineRule="auto"/>
              <w:jc w:val="center"/>
            </w:pPr>
            <w:r>
              <w:rPr>
                <w:b/>
                <w:sz w:val="18"/>
              </w:rPr>
              <w:t>Indeks (%)</w:t>
            </w:r>
          </w:p>
        </w:tc>
      </w:tr>
      <w:tr w:rsidR="00BF2A52" w14:paraId="12C1FFBC" w14:textId="77777777">
        <w:tblPrEx>
          <w:tblCellMar>
            <w:top w:w="0" w:type="dxa"/>
            <w:bottom w:w="0" w:type="dxa"/>
          </w:tblCellMar>
        </w:tblPrEx>
        <w:trPr>
          <w:cantSplit/>
          <w:trHeight w:val="560"/>
        </w:trPr>
        <w:tc>
          <w:tcPr>
            <w:tcW w:w="700" w:type="dxa"/>
            <w:tcMar>
              <w:top w:w="0" w:type="dxa"/>
              <w:bottom w:w="0" w:type="dxa"/>
            </w:tcMar>
            <w:vAlign w:val="center"/>
          </w:tcPr>
          <w:p w14:paraId="1A03BB9F" w14:textId="77777777" w:rsidR="00BF2A52" w:rsidRDefault="00000000" w:rsidP="00316609">
            <w:pPr>
              <w:keepNext/>
              <w:keepLines/>
              <w:spacing w:after="0" w:line="240" w:lineRule="auto"/>
            </w:pPr>
            <w:r>
              <w:rPr>
                <w:sz w:val="18"/>
              </w:rPr>
              <w:t>3222</w:t>
            </w:r>
          </w:p>
        </w:tc>
        <w:tc>
          <w:tcPr>
            <w:tcW w:w="3180" w:type="dxa"/>
            <w:tcMar>
              <w:top w:w="0" w:type="dxa"/>
              <w:bottom w:w="0" w:type="dxa"/>
            </w:tcMar>
            <w:vAlign w:val="center"/>
          </w:tcPr>
          <w:p w14:paraId="1C4183A7" w14:textId="77777777" w:rsidR="00BF2A52" w:rsidRDefault="00000000" w:rsidP="00316609">
            <w:pPr>
              <w:keepNext/>
              <w:keepLines/>
              <w:spacing w:after="0" w:line="240" w:lineRule="auto"/>
            </w:pPr>
            <w:r>
              <w:rPr>
                <w:sz w:val="18"/>
              </w:rPr>
              <w:t>Materijal i sirovine</w:t>
            </w:r>
          </w:p>
        </w:tc>
        <w:tc>
          <w:tcPr>
            <w:tcW w:w="700" w:type="dxa"/>
            <w:tcMar>
              <w:top w:w="0" w:type="dxa"/>
              <w:bottom w:w="0" w:type="dxa"/>
            </w:tcMar>
            <w:vAlign w:val="center"/>
          </w:tcPr>
          <w:p w14:paraId="18645CAF" w14:textId="77777777" w:rsidR="00BF2A52" w:rsidRDefault="00000000" w:rsidP="00316609">
            <w:pPr>
              <w:keepNext/>
              <w:keepLines/>
              <w:spacing w:after="0" w:line="240" w:lineRule="auto"/>
            </w:pPr>
            <w:r>
              <w:rPr>
                <w:sz w:val="18"/>
              </w:rPr>
              <w:t>3222</w:t>
            </w:r>
          </w:p>
        </w:tc>
        <w:tc>
          <w:tcPr>
            <w:tcW w:w="1860" w:type="dxa"/>
            <w:tcMar>
              <w:top w:w="0" w:type="dxa"/>
              <w:bottom w:w="0" w:type="dxa"/>
            </w:tcMar>
            <w:vAlign w:val="center"/>
          </w:tcPr>
          <w:p w14:paraId="5D447632" w14:textId="77777777" w:rsidR="00BF2A52" w:rsidRDefault="00000000" w:rsidP="00316609">
            <w:pPr>
              <w:keepNext/>
              <w:keepLines/>
              <w:spacing w:after="0" w:line="240" w:lineRule="auto"/>
              <w:jc w:val="right"/>
            </w:pPr>
            <w:r>
              <w:rPr>
                <w:sz w:val="18"/>
              </w:rPr>
              <w:t>92.361,50</w:t>
            </w:r>
          </w:p>
        </w:tc>
        <w:tc>
          <w:tcPr>
            <w:tcW w:w="1860" w:type="dxa"/>
            <w:tcMar>
              <w:top w:w="0" w:type="dxa"/>
              <w:bottom w:w="0" w:type="dxa"/>
            </w:tcMar>
            <w:vAlign w:val="center"/>
          </w:tcPr>
          <w:p w14:paraId="26774717" w14:textId="77777777" w:rsidR="00BF2A52" w:rsidRDefault="00000000" w:rsidP="00316609">
            <w:pPr>
              <w:keepNext/>
              <w:keepLines/>
              <w:spacing w:after="0" w:line="240" w:lineRule="auto"/>
              <w:jc w:val="right"/>
            </w:pPr>
            <w:r>
              <w:rPr>
                <w:sz w:val="18"/>
              </w:rPr>
              <w:t>121.960,88</w:t>
            </w:r>
          </w:p>
        </w:tc>
        <w:tc>
          <w:tcPr>
            <w:tcW w:w="700" w:type="dxa"/>
            <w:tcMar>
              <w:top w:w="0" w:type="dxa"/>
              <w:bottom w:w="0" w:type="dxa"/>
            </w:tcMar>
            <w:vAlign w:val="center"/>
          </w:tcPr>
          <w:p w14:paraId="48EEF88C" w14:textId="77777777" w:rsidR="00BF2A52" w:rsidRDefault="00000000" w:rsidP="00316609">
            <w:pPr>
              <w:keepNext/>
              <w:keepLines/>
              <w:spacing w:after="0" w:line="240" w:lineRule="auto"/>
              <w:jc w:val="right"/>
            </w:pPr>
            <w:r>
              <w:rPr>
                <w:sz w:val="18"/>
              </w:rPr>
              <w:t>132,0</w:t>
            </w:r>
          </w:p>
        </w:tc>
      </w:tr>
    </w:tbl>
    <w:p w14:paraId="377C7FDA" w14:textId="77777777" w:rsidR="00BF2A52" w:rsidRDefault="00BF2A52" w:rsidP="00316609">
      <w:pPr>
        <w:spacing w:after="0" w:line="240" w:lineRule="auto"/>
      </w:pPr>
    </w:p>
    <w:p w14:paraId="3E419CA5" w14:textId="77777777" w:rsidR="00BF2A52" w:rsidRDefault="00000000" w:rsidP="00316609">
      <w:pPr>
        <w:spacing w:after="0" w:line="240" w:lineRule="auto"/>
      </w:pPr>
      <w:r>
        <w:t>Rashod se odnosi na nabavku namirnice i materijala potrebnog za rada sukladno potrebama. </w:t>
      </w:r>
    </w:p>
    <w:p w14:paraId="76234699" w14:textId="77777777" w:rsidR="00BF2A52" w:rsidRDefault="00BF2A52" w:rsidP="00316609">
      <w:pPr>
        <w:spacing w:after="0" w:line="240" w:lineRule="auto"/>
      </w:pPr>
    </w:p>
    <w:p w14:paraId="4258418F" w14:textId="77777777" w:rsidR="00BF2A52" w:rsidRDefault="00000000" w:rsidP="00316609">
      <w:pPr>
        <w:keepNext/>
        <w:spacing w:after="0"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2A52" w14:paraId="00A91C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D7ED08" w14:textId="77777777" w:rsidR="00BF2A52" w:rsidRDefault="00000000" w:rsidP="003166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AD1CD4" w14:textId="77777777" w:rsidR="00BF2A52" w:rsidRDefault="00000000" w:rsidP="003166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37D173" w14:textId="77777777" w:rsidR="00BF2A52" w:rsidRDefault="00000000" w:rsidP="003166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6AF9DB" w14:textId="77777777" w:rsidR="00BF2A52" w:rsidRDefault="00000000" w:rsidP="0031660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FFE834" w14:textId="77777777" w:rsidR="00BF2A52" w:rsidRDefault="00000000" w:rsidP="0031660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7BDBB9" w14:textId="77777777" w:rsidR="00BF2A52" w:rsidRDefault="00000000" w:rsidP="00316609">
            <w:pPr>
              <w:keepNext/>
              <w:keepLines/>
              <w:spacing w:after="0" w:line="240" w:lineRule="auto"/>
              <w:jc w:val="center"/>
            </w:pPr>
            <w:r>
              <w:rPr>
                <w:b/>
                <w:sz w:val="18"/>
              </w:rPr>
              <w:t>Indeks (%)</w:t>
            </w:r>
          </w:p>
        </w:tc>
      </w:tr>
      <w:tr w:rsidR="00BF2A52" w14:paraId="34317FC3" w14:textId="77777777">
        <w:tblPrEx>
          <w:tblCellMar>
            <w:top w:w="0" w:type="dxa"/>
            <w:bottom w:w="0" w:type="dxa"/>
          </w:tblCellMar>
        </w:tblPrEx>
        <w:trPr>
          <w:cantSplit/>
          <w:trHeight w:val="560"/>
        </w:trPr>
        <w:tc>
          <w:tcPr>
            <w:tcW w:w="700" w:type="dxa"/>
            <w:tcMar>
              <w:top w:w="0" w:type="dxa"/>
              <w:bottom w:w="0" w:type="dxa"/>
            </w:tcMar>
            <w:vAlign w:val="center"/>
          </w:tcPr>
          <w:p w14:paraId="72B5D1B3" w14:textId="77777777" w:rsidR="00BF2A52" w:rsidRDefault="00000000" w:rsidP="00316609">
            <w:pPr>
              <w:keepNext/>
              <w:keepLines/>
              <w:spacing w:after="0" w:line="240" w:lineRule="auto"/>
            </w:pPr>
            <w:r>
              <w:rPr>
                <w:sz w:val="18"/>
              </w:rPr>
              <w:t>3223</w:t>
            </w:r>
          </w:p>
        </w:tc>
        <w:tc>
          <w:tcPr>
            <w:tcW w:w="3180" w:type="dxa"/>
            <w:tcMar>
              <w:top w:w="0" w:type="dxa"/>
              <w:bottom w:w="0" w:type="dxa"/>
            </w:tcMar>
            <w:vAlign w:val="center"/>
          </w:tcPr>
          <w:p w14:paraId="443AC361" w14:textId="77777777" w:rsidR="00BF2A52" w:rsidRDefault="00000000" w:rsidP="00316609">
            <w:pPr>
              <w:keepNext/>
              <w:keepLines/>
              <w:spacing w:after="0" w:line="240" w:lineRule="auto"/>
            </w:pPr>
            <w:r>
              <w:rPr>
                <w:sz w:val="18"/>
              </w:rPr>
              <w:t>Energija</w:t>
            </w:r>
          </w:p>
        </w:tc>
        <w:tc>
          <w:tcPr>
            <w:tcW w:w="700" w:type="dxa"/>
            <w:tcMar>
              <w:top w:w="0" w:type="dxa"/>
              <w:bottom w:w="0" w:type="dxa"/>
            </w:tcMar>
            <w:vAlign w:val="center"/>
          </w:tcPr>
          <w:p w14:paraId="1D662F4A" w14:textId="77777777" w:rsidR="00BF2A52" w:rsidRDefault="00000000" w:rsidP="00316609">
            <w:pPr>
              <w:keepNext/>
              <w:keepLines/>
              <w:spacing w:after="0" w:line="240" w:lineRule="auto"/>
            </w:pPr>
            <w:r>
              <w:rPr>
                <w:sz w:val="18"/>
              </w:rPr>
              <w:t>3223</w:t>
            </w:r>
          </w:p>
        </w:tc>
        <w:tc>
          <w:tcPr>
            <w:tcW w:w="1860" w:type="dxa"/>
            <w:tcMar>
              <w:top w:w="0" w:type="dxa"/>
              <w:bottom w:w="0" w:type="dxa"/>
            </w:tcMar>
            <w:vAlign w:val="center"/>
          </w:tcPr>
          <w:p w14:paraId="7430F58F" w14:textId="77777777" w:rsidR="00BF2A52" w:rsidRDefault="00000000" w:rsidP="00316609">
            <w:pPr>
              <w:keepNext/>
              <w:keepLines/>
              <w:spacing w:after="0" w:line="240" w:lineRule="auto"/>
              <w:jc w:val="right"/>
            </w:pPr>
            <w:r>
              <w:rPr>
                <w:sz w:val="18"/>
              </w:rPr>
              <w:t>22.054,58</w:t>
            </w:r>
          </w:p>
        </w:tc>
        <w:tc>
          <w:tcPr>
            <w:tcW w:w="1860" w:type="dxa"/>
            <w:tcMar>
              <w:top w:w="0" w:type="dxa"/>
              <w:bottom w:w="0" w:type="dxa"/>
            </w:tcMar>
            <w:vAlign w:val="center"/>
          </w:tcPr>
          <w:p w14:paraId="15495A53" w14:textId="77777777" w:rsidR="00BF2A52" w:rsidRDefault="00000000" w:rsidP="00316609">
            <w:pPr>
              <w:keepNext/>
              <w:keepLines/>
              <w:spacing w:after="0" w:line="240" w:lineRule="auto"/>
              <w:jc w:val="right"/>
            </w:pPr>
            <w:r>
              <w:rPr>
                <w:sz w:val="18"/>
              </w:rPr>
              <w:t>32.461,56</w:t>
            </w:r>
          </w:p>
        </w:tc>
        <w:tc>
          <w:tcPr>
            <w:tcW w:w="700" w:type="dxa"/>
            <w:tcMar>
              <w:top w:w="0" w:type="dxa"/>
              <w:bottom w:w="0" w:type="dxa"/>
            </w:tcMar>
            <w:vAlign w:val="center"/>
          </w:tcPr>
          <w:p w14:paraId="3A1AE0DE" w14:textId="77777777" w:rsidR="00BF2A52" w:rsidRDefault="00000000" w:rsidP="00316609">
            <w:pPr>
              <w:keepNext/>
              <w:keepLines/>
              <w:spacing w:after="0" w:line="240" w:lineRule="auto"/>
              <w:jc w:val="right"/>
            </w:pPr>
            <w:r>
              <w:rPr>
                <w:sz w:val="18"/>
              </w:rPr>
              <w:t>147,2</w:t>
            </w:r>
          </w:p>
        </w:tc>
      </w:tr>
    </w:tbl>
    <w:p w14:paraId="69FF30E2" w14:textId="77777777" w:rsidR="00BF2A52" w:rsidRDefault="00BF2A52" w:rsidP="00316609">
      <w:pPr>
        <w:spacing w:after="0" w:line="240" w:lineRule="auto"/>
      </w:pPr>
    </w:p>
    <w:p w14:paraId="7E032E28" w14:textId="77777777" w:rsidR="00BF2A52" w:rsidRDefault="00000000" w:rsidP="00316609">
      <w:pPr>
        <w:spacing w:after="0" w:line="240" w:lineRule="auto"/>
      </w:pPr>
      <w:r>
        <w:lastRenderedPageBreak/>
        <w:t>Otvaranje nove lokacije, veći su rashodi za energiju u odnosu na prethodno razdoblje. </w:t>
      </w:r>
    </w:p>
    <w:p w14:paraId="5B0EAF7D" w14:textId="77777777" w:rsidR="00BF2A52" w:rsidRDefault="00BF2A52" w:rsidP="00316609">
      <w:pPr>
        <w:spacing w:after="0" w:line="240" w:lineRule="auto"/>
      </w:pPr>
    </w:p>
    <w:p w14:paraId="5D6F2B18" w14:textId="77777777" w:rsidR="00BF2A52" w:rsidRDefault="00000000" w:rsidP="00316609">
      <w:pPr>
        <w:keepNext/>
        <w:spacing w:after="0"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2A52" w14:paraId="55CDE5B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D52C03" w14:textId="77777777" w:rsidR="00BF2A52" w:rsidRDefault="00000000" w:rsidP="003166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061EF8" w14:textId="77777777" w:rsidR="00BF2A52" w:rsidRDefault="00000000" w:rsidP="003166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DEEC8F" w14:textId="77777777" w:rsidR="00BF2A52" w:rsidRDefault="00000000" w:rsidP="003166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25E2F8" w14:textId="77777777" w:rsidR="00BF2A52" w:rsidRDefault="00000000" w:rsidP="0031660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8126B3" w14:textId="77777777" w:rsidR="00BF2A52" w:rsidRDefault="00000000" w:rsidP="0031660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B67C5D" w14:textId="77777777" w:rsidR="00BF2A52" w:rsidRDefault="00000000" w:rsidP="00316609">
            <w:pPr>
              <w:keepNext/>
              <w:keepLines/>
              <w:spacing w:after="0" w:line="240" w:lineRule="auto"/>
              <w:jc w:val="center"/>
            </w:pPr>
            <w:r>
              <w:rPr>
                <w:b/>
                <w:sz w:val="18"/>
              </w:rPr>
              <w:t>Indeks (%)</w:t>
            </w:r>
          </w:p>
        </w:tc>
      </w:tr>
      <w:tr w:rsidR="00BF2A52" w14:paraId="62E94DFF" w14:textId="77777777">
        <w:tblPrEx>
          <w:tblCellMar>
            <w:top w:w="0" w:type="dxa"/>
            <w:bottom w:w="0" w:type="dxa"/>
          </w:tblCellMar>
        </w:tblPrEx>
        <w:trPr>
          <w:cantSplit/>
          <w:trHeight w:val="560"/>
        </w:trPr>
        <w:tc>
          <w:tcPr>
            <w:tcW w:w="700" w:type="dxa"/>
            <w:tcMar>
              <w:top w:w="0" w:type="dxa"/>
              <w:bottom w:w="0" w:type="dxa"/>
            </w:tcMar>
            <w:vAlign w:val="center"/>
          </w:tcPr>
          <w:p w14:paraId="56F330FE" w14:textId="77777777" w:rsidR="00BF2A52" w:rsidRDefault="00000000" w:rsidP="00316609">
            <w:pPr>
              <w:keepNext/>
              <w:keepLines/>
              <w:spacing w:after="0" w:line="240" w:lineRule="auto"/>
            </w:pPr>
            <w:r>
              <w:rPr>
                <w:sz w:val="18"/>
              </w:rPr>
              <w:t>3236</w:t>
            </w:r>
          </w:p>
        </w:tc>
        <w:tc>
          <w:tcPr>
            <w:tcW w:w="3180" w:type="dxa"/>
            <w:tcMar>
              <w:top w:w="0" w:type="dxa"/>
              <w:bottom w:w="0" w:type="dxa"/>
            </w:tcMar>
            <w:vAlign w:val="center"/>
          </w:tcPr>
          <w:p w14:paraId="4AAB55FE" w14:textId="77777777" w:rsidR="00BF2A52" w:rsidRDefault="00000000" w:rsidP="00316609">
            <w:pPr>
              <w:keepNext/>
              <w:keepLines/>
              <w:spacing w:after="0" w:line="240" w:lineRule="auto"/>
            </w:pPr>
            <w:r>
              <w:rPr>
                <w:sz w:val="18"/>
              </w:rPr>
              <w:t>Zdravstvene i veterinarske usluge</w:t>
            </w:r>
          </w:p>
        </w:tc>
        <w:tc>
          <w:tcPr>
            <w:tcW w:w="700" w:type="dxa"/>
            <w:tcMar>
              <w:top w:w="0" w:type="dxa"/>
              <w:bottom w:w="0" w:type="dxa"/>
            </w:tcMar>
            <w:vAlign w:val="center"/>
          </w:tcPr>
          <w:p w14:paraId="2A0EC352" w14:textId="77777777" w:rsidR="00BF2A52" w:rsidRDefault="00000000" w:rsidP="00316609">
            <w:pPr>
              <w:keepNext/>
              <w:keepLines/>
              <w:spacing w:after="0" w:line="240" w:lineRule="auto"/>
            </w:pPr>
            <w:r>
              <w:rPr>
                <w:sz w:val="18"/>
              </w:rPr>
              <w:t>3236</w:t>
            </w:r>
          </w:p>
        </w:tc>
        <w:tc>
          <w:tcPr>
            <w:tcW w:w="1860" w:type="dxa"/>
            <w:tcMar>
              <w:top w:w="0" w:type="dxa"/>
              <w:bottom w:w="0" w:type="dxa"/>
            </w:tcMar>
            <w:vAlign w:val="center"/>
          </w:tcPr>
          <w:p w14:paraId="1367F6A9" w14:textId="77777777" w:rsidR="00BF2A52" w:rsidRDefault="00000000" w:rsidP="00316609">
            <w:pPr>
              <w:keepNext/>
              <w:keepLines/>
              <w:spacing w:after="0" w:line="240" w:lineRule="auto"/>
              <w:jc w:val="right"/>
            </w:pPr>
            <w:r>
              <w:rPr>
                <w:sz w:val="18"/>
              </w:rPr>
              <w:t>3.966,29</w:t>
            </w:r>
          </w:p>
        </w:tc>
        <w:tc>
          <w:tcPr>
            <w:tcW w:w="1860" w:type="dxa"/>
            <w:tcMar>
              <w:top w:w="0" w:type="dxa"/>
              <w:bottom w:w="0" w:type="dxa"/>
            </w:tcMar>
            <w:vAlign w:val="center"/>
          </w:tcPr>
          <w:p w14:paraId="166E6B04" w14:textId="77777777" w:rsidR="00BF2A52" w:rsidRDefault="00000000" w:rsidP="00316609">
            <w:pPr>
              <w:keepNext/>
              <w:keepLines/>
              <w:spacing w:after="0" w:line="240" w:lineRule="auto"/>
              <w:jc w:val="right"/>
            </w:pPr>
            <w:r>
              <w:rPr>
                <w:sz w:val="18"/>
              </w:rPr>
              <w:t>6.295,81</w:t>
            </w:r>
          </w:p>
        </w:tc>
        <w:tc>
          <w:tcPr>
            <w:tcW w:w="700" w:type="dxa"/>
            <w:tcMar>
              <w:top w:w="0" w:type="dxa"/>
              <w:bottom w:w="0" w:type="dxa"/>
            </w:tcMar>
            <w:vAlign w:val="center"/>
          </w:tcPr>
          <w:p w14:paraId="250C4615" w14:textId="77777777" w:rsidR="00BF2A52" w:rsidRDefault="00000000" w:rsidP="00316609">
            <w:pPr>
              <w:keepNext/>
              <w:keepLines/>
              <w:spacing w:after="0" w:line="240" w:lineRule="auto"/>
              <w:jc w:val="right"/>
            </w:pPr>
            <w:r>
              <w:rPr>
                <w:sz w:val="18"/>
              </w:rPr>
              <w:t>158,7</w:t>
            </w:r>
          </w:p>
        </w:tc>
      </w:tr>
    </w:tbl>
    <w:p w14:paraId="2B621C96" w14:textId="77777777" w:rsidR="00BF2A52" w:rsidRDefault="00BF2A52" w:rsidP="00316609">
      <w:pPr>
        <w:spacing w:after="0" w:line="240" w:lineRule="auto"/>
      </w:pPr>
    </w:p>
    <w:p w14:paraId="6DEF5E03" w14:textId="77777777" w:rsidR="00BF2A52" w:rsidRDefault="00000000" w:rsidP="00316609">
      <w:pPr>
        <w:spacing w:after="0" w:line="240" w:lineRule="auto"/>
      </w:pPr>
      <w:r>
        <w:t>Rashod se odnosi na sistematske preglede djelatnika koji su zaposleni tijekom 2025. godine. </w:t>
      </w:r>
    </w:p>
    <w:p w14:paraId="12F689C9" w14:textId="77777777" w:rsidR="00BF2A52" w:rsidRDefault="00BF2A52" w:rsidP="00316609">
      <w:pPr>
        <w:spacing w:after="0" w:line="240" w:lineRule="auto"/>
      </w:pPr>
    </w:p>
    <w:p w14:paraId="17109EB1" w14:textId="77777777" w:rsidR="00BF2A52" w:rsidRDefault="00000000" w:rsidP="00316609">
      <w:pPr>
        <w:keepNext/>
        <w:spacing w:after="0" w:line="240" w:lineRule="auto"/>
        <w:jc w:val="center"/>
      </w:pPr>
      <w:r>
        <w:rPr>
          <w:b/>
          <w:sz w:val="28"/>
        </w:rPr>
        <w:t>Bilanca</w:t>
      </w:r>
    </w:p>
    <w:p w14:paraId="73A4A864" w14:textId="77777777" w:rsidR="00BF2A52" w:rsidRDefault="00000000" w:rsidP="00316609">
      <w:pPr>
        <w:keepNext/>
        <w:spacing w:after="0"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2A52" w14:paraId="66B0A2D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DCF818" w14:textId="77777777" w:rsidR="00BF2A52" w:rsidRDefault="00000000" w:rsidP="003166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267C9F" w14:textId="77777777" w:rsidR="00BF2A52" w:rsidRDefault="00000000" w:rsidP="003166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87B9AD" w14:textId="77777777" w:rsidR="00BF2A52" w:rsidRDefault="00000000" w:rsidP="003166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EAFA7D" w14:textId="77777777" w:rsidR="00BF2A52" w:rsidRDefault="00000000" w:rsidP="0031660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B9862AD" w14:textId="77777777" w:rsidR="00BF2A52" w:rsidRDefault="00000000" w:rsidP="0031660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00E7BD0" w14:textId="77777777" w:rsidR="00BF2A52" w:rsidRDefault="00000000" w:rsidP="00316609">
            <w:pPr>
              <w:keepNext/>
              <w:keepLines/>
              <w:spacing w:after="0" w:line="240" w:lineRule="auto"/>
              <w:jc w:val="center"/>
            </w:pPr>
            <w:r>
              <w:rPr>
                <w:b/>
                <w:sz w:val="18"/>
              </w:rPr>
              <w:t>Indeks (%)</w:t>
            </w:r>
          </w:p>
        </w:tc>
      </w:tr>
      <w:tr w:rsidR="00BF2A52" w14:paraId="6446B2D9" w14:textId="77777777">
        <w:tblPrEx>
          <w:tblCellMar>
            <w:top w:w="0" w:type="dxa"/>
            <w:bottom w:w="0" w:type="dxa"/>
          </w:tblCellMar>
        </w:tblPrEx>
        <w:trPr>
          <w:cantSplit/>
          <w:trHeight w:val="560"/>
        </w:trPr>
        <w:tc>
          <w:tcPr>
            <w:tcW w:w="700" w:type="dxa"/>
            <w:tcMar>
              <w:top w:w="0" w:type="dxa"/>
              <w:bottom w:w="0" w:type="dxa"/>
            </w:tcMar>
            <w:vAlign w:val="center"/>
          </w:tcPr>
          <w:p w14:paraId="2165035B" w14:textId="77777777" w:rsidR="00BF2A52" w:rsidRDefault="00000000" w:rsidP="00316609">
            <w:pPr>
              <w:keepNext/>
              <w:keepLines/>
              <w:spacing w:after="0" w:line="240" w:lineRule="auto"/>
            </w:pPr>
            <w:r>
              <w:rPr>
                <w:sz w:val="18"/>
              </w:rPr>
              <w:t>022 i 02922</w:t>
            </w:r>
          </w:p>
        </w:tc>
        <w:tc>
          <w:tcPr>
            <w:tcW w:w="3180" w:type="dxa"/>
            <w:tcMar>
              <w:top w:w="0" w:type="dxa"/>
              <w:bottom w:w="0" w:type="dxa"/>
            </w:tcMar>
            <w:vAlign w:val="center"/>
          </w:tcPr>
          <w:p w14:paraId="3B3E7255" w14:textId="77777777" w:rsidR="00BF2A52" w:rsidRDefault="00000000" w:rsidP="00316609">
            <w:pPr>
              <w:keepNext/>
              <w:keepLines/>
              <w:spacing w:after="0" w:line="240" w:lineRule="auto"/>
            </w:pPr>
            <w:r>
              <w:rPr>
                <w:sz w:val="18"/>
              </w:rPr>
              <w:t>Postrojenja i oprema (šifre 0221 do 0228 - 02922)</w:t>
            </w:r>
          </w:p>
        </w:tc>
        <w:tc>
          <w:tcPr>
            <w:tcW w:w="700" w:type="dxa"/>
            <w:tcMar>
              <w:top w:w="0" w:type="dxa"/>
              <w:bottom w:w="0" w:type="dxa"/>
            </w:tcMar>
            <w:vAlign w:val="center"/>
          </w:tcPr>
          <w:p w14:paraId="65B4EA2A" w14:textId="77777777" w:rsidR="00BF2A52" w:rsidRDefault="00000000" w:rsidP="00316609">
            <w:pPr>
              <w:keepNext/>
              <w:keepLines/>
              <w:spacing w:after="0" w:line="240" w:lineRule="auto"/>
            </w:pPr>
            <w:r>
              <w:rPr>
                <w:sz w:val="18"/>
              </w:rPr>
              <w:t>022 i 02922</w:t>
            </w:r>
          </w:p>
        </w:tc>
        <w:tc>
          <w:tcPr>
            <w:tcW w:w="1860" w:type="dxa"/>
            <w:tcMar>
              <w:top w:w="0" w:type="dxa"/>
              <w:bottom w:w="0" w:type="dxa"/>
            </w:tcMar>
            <w:vAlign w:val="center"/>
          </w:tcPr>
          <w:p w14:paraId="68882B71" w14:textId="77777777" w:rsidR="00BF2A52" w:rsidRDefault="00000000" w:rsidP="00316609">
            <w:pPr>
              <w:keepNext/>
              <w:keepLines/>
              <w:spacing w:after="0" w:line="240" w:lineRule="auto"/>
              <w:jc w:val="right"/>
            </w:pPr>
            <w:r>
              <w:rPr>
                <w:sz w:val="18"/>
              </w:rPr>
              <w:t>43.881,99</w:t>
            </w:r>
          </w:p>
        </w:tc>
        <w:tc>
          <w:tcPr>
            <w:tcW w:w="1860" w:type="dxa"/>
            <w:tcMar>
              <w:top w:w="0" w:type="dxa"/>
              <w:bottom w:w="0" w:type="dxa"/>
            </w:tcMar>
            <w:vAlign w:val="center"/>
          </w:tcPr>
          <w:p w14:paraId="4AF77441" w14:textId="77777777" w:rsidR="00BF2A52" w:rsidRDefault="00000000" w:rsidP="00316609">
            <w:pPr>
              <w:keepNext/>
              <w:keepLines/>
              <w:spacing w:after="0" w:line="240" w:lineRule="auto"/>
              <w:jc w:val="right"/>
            </w:pPr>
            <w:r>
              <w:rPr>
                <w:sz w:val="18"/>
              </w:rPr>
              <w:t>265.999,10</w:t>
            </w:r>
          </w:p>
        </w:tc>
        <w:tc>
          <w:tcPr>
            <w:tcW w:w="700" w:type="dxa"/>
            <w:tcMar>
              <w:top w:w="0" w:type="dxa"/>
              <w:bottom w:w="0" w:type="dxa"/>
            </w:tcMar>
            <w:vAlign w:val="center"/>
          </w:tcPr>
          <w:p w14:paraId="1233B22A" w14:textId="77777777" w:rsidR="00BF2A52" w:rsidRDefault="00000000" w:rsidP="00316609">
            <w:pPr>
              <w:keepNext/>
              <w:keepLines/>
              <w:spacing w:after="0" w:line="240" w:lineRule="auto"/>
              <w:jc w:val="right"/>
            </w:pPr>
            <w:r>
              <w:rPr>
                <w:sz w:val="18"/>
              </w:rPr>
              <w:t>606,2</w:t>
            </w:r>
          </w:p>
        </w:tc>
      </w:tr>
    </w:tbl>
    <w:p w14:paraId="07481483" w14:textId="77777777" w:rsidR="00BF2A52" w:rsidRDefault="00BF2A52" w:rsidP="00316609">
      <w:pPr>
        <w:spacing w:after="0" w:line="240" w:lineRule="auto"/>
      </w:pPr>
    </w:p>
    <w:p w14:paraId="7347ABB8" w14:textId="77777777" w:rsidR="00BF2A52" w:rsidRDefault="00000000" w:rsidP="00316609">
      <w:pPr>
        <w:spacing w:after="0" w:line="240" w:lineRule="auto"/>
        <w:jc w:val="both"/>
      </w:pPr>
      <w:r>
        <w:t>Tijekom 2025. godine vrtić je darovnim ugovorom od Grada dobio opremu za novootvorenu lokaciju vrtića. Ukupna vrijednost nove opreme iznosi 322.427,50 eura - dio se odnosi na dugotrajnu imovinu, a dio na sitni inventar. </w:t>
      </w:r>
    </w:p>
    <w:p w14:paraId="1F93B2A6" w14:textId="77777777" w:rsidR="00BF2A52" w:rsidRDefault="00BF2A52" w:rsidP="00316609">
      <w:pPr>
        <w:spacing w:after="0" w:line="240" w:lineRule="auto"/>
      </w:pPr>
    </w:p>
    <w:p w14:paraId="00394713" w14:textId="77777777" w:rsidR="00BF2A52" w:rsidRDefault="00000000" w:rsidP="00316609">
      <w:pPr>
        <w:keepNext/>
        <w:spacing w:after="0"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2A52" w14:paraId="373589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68634B" w14:textId="77777777" w:rsidR="00BF2A52" w:rsidRDefault="00000000" w:rsidP="003166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B6015A" w14:textId="77777777" w:rsidR="00BF2A52" w:rsidRDefault="00000000" w:rsidP="003166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5E9808" w14:textId="77777777" w:rsidR="00BF2A52" w:rsidRDefault="00000000" w:rsidP="003166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FB6FE7" w14:textId="77777777" w:rsidR="00BF2A52" w:rsidRDefault="00000000" w:rsidP="0031660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800DAA5" w14:textId="77777777" w:rsidR="00BF2A52" w:rsidRDefault="00000000" w:rsidP="0031660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3D0AACE" w14:textId="77777777" w:rsidR="00BF2A52" w:rsidRDefault="00000000" w:rsidP="00316609">
            <w:pPr>
              <w:keepNext/>
              <w:keepLines/>
              <w:spacing w:after="0" w:line="240" w:lineRule="auto"/>
              <w:jc w:val="center"/>
            </w:pPr>
            <w:r>
              <w:rPr>
                <w:b/>
                <w:sz w:val="18"/>
              </w:rPr>
              <w:t>Indeks (%)</w:t>
            </w:r>
          </w:p>
        </w:tc>
      </w:tr>
      <w:tr w:rsidR="00BF2A52" w14:paraId="731CBFFC" w14:textId="77777777">
        <w:tblPrEx>
          <w:tblCellMar>
            <w:top w:w="0" w:type="dxa"/>
            <w:bottom w:w="0" w:type="dxa"/>
          </w:tblCellMar>
        </w:tblPrEx>
        <w:trPr>
          <w:cantSplit/>
          <w:trHeight w:val="560"/>
        </w:trPr>
        <w:tc>
          <w:tcPr>
            <w:tcW w:w="700" w:type="dxa"/>
            <w:tcMar>
              <w:top w:w="0" w:type="dxa"/>
              <w:bottom w:w="0" w:type="dxa"/>
            </w:tcMar>
            <w:vAlign w:val="center"/>
          </w:tcPr>
          <w:p w14:paraId="1BF79645" w14:textId="77777777" w:rsidR="00BF2A52" w:rsidRDefault="00000000" w:rsidP="00316609">
            <w:pPr>
              <w:keepNext/>
              <w:keepLines/>
              <w:spacing w:after="0" w:line="240" w:lineRule="auto"/>
            </w:pPr>
            <w:r>
              <w:rPr>
                <w:sz w:val="18"/>
              </w:rPr>
              <w:t>061</w:t>
            </w:r>
          </w:p>
        </w:tc>
        <w:tc>
          <w:tcPr>
            <w:tcW w:w="3180" w:type="dxa"/>
            <w:tcMar>
              <w:top w:w="0" w:type="dxa"/>
              <w:bottom w:w="0" w:type="dxa"/>
            </w:tcMar>
            <w:vAlign w:val="center"/>
          </w:tcPr>
          <w:p w14:paraId="044C8F84" w14:textId="77777777" w:rsidR="00BF2A52" w:rsidRDefault="00000000" w:rsidP="00316609">
            <w:pPr>
              <w:keepNext/>
              <w:keepLines/>
              <w:spacing w:after="0" w:line="240" w:lineRule="auto"/>
            </w:pPr>
            <w:r>
              <w:rPr>
                <w:sz w:val="18"/>
              </w:rPr>
              <w:t>Zalihe za obavljanje djelatnosti</w:t>
            </w:r>
          </w:p>
        </w:tc>
        <w:tc>
          <w:tcPr>
            <w:tcW w:w="700" w:type="dxa"/>
            <w:tcMar>
              <w:top w:w="0" w:type="dxa"/>
              <w:bottom w:w="0" w:type="dxa"/>
            </w:tcMar>
            <w:vAlign w:val="center"/>
          </w:tcPr>
          <w:p w14:paraId="082A6225" w14:textId="77777777" w:rsidR="00BF2A52" w:rsidRDefault="00000000" w:rsidP="00316609">
            <w:pPr>
              <w:keepNext/>
              <w:keepLines/>
              <w:spacing w:after="0" w:line="240" w:lineRule="auto"/>
            </w:pPr>
            <w:r>
              <w:rPr>
                <w:sz w:val="18"/>
              </w:rPr>
              <w:t>061</w:t>
            </w:r>
          </w:p>
        </w:tc>
        <w:tc>
          <w:tcPr>
            <w:tcW w:w="1860" w:type="dxa"/>
            <w:tcMar>
              <w:top w:w="0" w:type="dxa"/>
              <w:bottom w:w="0" w:type="dxa"/>
            </w:tcMar>
            <w:vAlign w:val="center"/>
          </w:tcPr>
          <w:p w14:paraId="5D03D8D7" w14:textId="77777777" w:rsidR="00BF2A52" w:rsidRDefault="00000000" w:rsidP="00316609">
            <w:pPr>
              <w:keepNext/>
              <w:keepLines/>
              <w:spacing w:after="0" w:line="240" w:lineRule="auto"/>
              <w:jc w:val="right"/>
            </w:pPr>
            <w:r>
              <w:rPr>
                <w:sz w:val="18"/>
              </w:rPr>
              <w:t>406,35</w:t>
            </w:r>
          </w:p>
        </w:tc>
        <w:tc>
          <w:tcPr>
            <w:tcW w:w="1860" w:type="dxa"/>
            <w:tcMar>
              <w:top w:w="0" w:type="dxa"/>
              <w:bottom w:w="0" w:type="dxa"/>
            </w:tcMar>
            <w:vAlign w:val="center"/>
          </w:tcPr>
          <w:p w14:paraId="77A2A12B" w14:textId="77777777" w:rsidR="00BF2A52" w:rsidRDefault="00000000" w:rsidP="00316609">
            <w:pPr>
              <w:keepNext/>
              <w:keepLines/>
              <w:spacing w:after="0" w:line="240" w:lineRule="auto"/>
              <w:jc w:val="right"/>
            </w:pPr>
            <w:r>
              <w:rPr>
                <w:sz w:val="18"/>
              </w:rPr>
              <w:t>1.465,02</w:t>
            </w:r>
          </w:p>
        </w:tc>
        <w:tc>
          <w:tcPr>
            <w:tcW w:w="700" w:type="dxa"/>
            <w:tcMar>
              <w:top w:w="0" w:type="dxa"/>
              <w:bottom w:w="0" w:type="dxa"/>
            </w:tcMar>
            <w:vAlign w:val="center"/>
          </w:tcPr>
          <w:p w14:paraId="350DF27F" w14:textId="77777777" w:rsidR="00BF2A52" w:rsidRDefault="00000000" w:rsidP="00316609">
            <w:pPr>
              <w:keepNext/>
              <w:keepLines/>
              <w:spacing w:after="0" w:line="240" w:lineRule="auto"/>
              <w:jc w:val="right"/>
            </w:pPr>
            <w:r>
              <w:rPr>
                <w:sz w:val="18"/>
              </w:rPr>
              <w:t>360,5</w:t>
            </w:r>
          </w:p>
        </w:tc>
      </w:tr>
    </w:tbl>
    <w:p w14:paraId="30FE1C30" w14:textId="77777777" w:rsidR="00BF2A52" w:rsidRDefault="00BF2A52" w:rsidP="00316609">
      <w:pPr>
        <w:spacing w:after="0" w:line="240" w:lineRule="auto"/>
      </w:pPr>
    </w:p>
    <w:p w14:paraId="1F8C17CF" w14:textId="77777777" w:rsidR="00BF2A52" w:rsidRDefault="00000000" w:rsidP="00316609">
      <w:pPr>
        <w:spacing w:after="0" w:line="240" w:lineRule="auto"/>
      </w:pPr>
      <w:r>
        <w:t>Zalihe namirnica na kraju obračunskog razdoblja. </w:t>
      </w:r>
    </w:p>
    <w:p w14:paraId="5C7A26C8" w14:textId="77777777" w:rsidR="00BF2A52" w:rsidRDefault="00BF2A52" w:rsidP="00316609">
      <w:pPr>
        <w:spacing w:after="0" w:line="240" w:lineRule="auto"/>
      </w:pPr>
    </w:p>
    <w:p w14:paraId="552EA48A" w14:textId="77777777" w:rsidR="00BF2A52" w:rsidRDefault="00000000" w:rsidP="00316609">
      <w:pPr>
        <w:keepNext/>
        <w:spacing w:after="0"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2A52" w14:paraId="2CB9DA0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6B32D2" w14:textId="77777777" w:rsidR="00BF2A52" w:rsidRDefault="00000000" w:rsidP="003166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89A9B0" w14:textId="77777777" w:rsidR="00BF2A52" w:rsidRDefault="00000000" w:rsidP="003166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3F811B" w14:textId="77777777" w:rsidR="00BF2A52" w:rsidRDefault="00000000" w:rsidP="003166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48BD2E" w14:textId="77777777" w:rsidR="00BF2A52" w:rsidRDefault="00000000" w:rsidP="0031660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08E556C" w14:textId="77777777" w:rsidR="00BF2A52" w:rsidRDefault="00000000" w:rsidP="0031660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F6FBD30" w14:textId="77777777" w:rsidR="00BF2A52" w:rsidRDefault="00000000" w:rsidP="00316609">
            <w:pPr>
              <w:keepNext/>
              <w:keepLines/>
              <w:spacing w:after="0" w:line="240" w:lineRule="auto"/>
              <w:jc w:val="center"/>
            </w:pPr>
            <w:r>
              <w:rPr>
                <w:b/>
                <w:sz w:val="18"/>
              </w:rPr>
              <w:t>Indeks (%)</w:t>
            </w:r>
          </w:p>
        </w:tc>
      </w:tr>
      <w:tr w:rsidR="00BF2A52" w14:paraId="7F477D31" w14:textId="77777777">
        <w:tblPrEx>
          <w:tblCellMar>
            <w:top w:w="0" w:type="dxa"/>
            <w:bottom w:w="0" w:type="dxa"/>
          </w:tblCellMar>
        </w:tblPrEx>
        <w:trPr>
          <w:cantSplit/>
          <w:trHeight w:val="560"/>
        </w:trPr>
        <w:tc>
          <w:tcPr>
            <w:tcW w:w="700" w:type="dxa"/>
            <w:tcMar>
              <w:top w:w="0" w:type="dxa"/>
              <w:bottom w:w="0" w:type="dxa"/>
            </w:tcMar>
            <w:vAlign w:val="center"/>
          </w:tcPr>
          <w:p w14:paraId="70EEA3E5" w14:textId="77777777" w:rsidR="00BF2A52" w:rsidRDefault="00000000" w:rsidP="00316609">
            <w:pPr>
              <w:keepNext/>
              <w:keepLines/>
              <w:spacing w:after="0" w:line="240" w:lineRule="auto"/>
            </w:pPr>
            <w:r>
              <w:rPr>
                <w:sz w:val="18"/>
              </w:rPr>
              <w:t>129</w:t>
            </w:r>
          </w:p>
        </w:tc>
        <w:tc>
          <w:tcPr>
            <w:tcW w:w="3180" w:type="dxa"/>
            <w:tcMar>
              <w:top w:w="0" w:type="dxa"/>
              <w:bottom w:w="0" w:type="dxa"/>
            </w:tcMar>
            <w:vAlign w:val="center"/>
          </w:tcPr>
          <w:p w14:paraId="0E128879" w14:textId="77777777" w:rsidR="00BF2A52" w:rsidRDefault="00000000" w:rsidP="00316609">
            <w:pPr>
              <w:keepNext/>
              <w:keepLines/>
              <w:spacing w:after="0" w:line="240" w:lineRule="auto"/>
            </w:pPr>
            <w:r>
              <w:rPr>
                <w:sz w:val="18"/>
              </w:rPr>
              <w:t>Ostala potraživanja</w:t>
            </w:r>
          </w:p>
        </w:tc>
        <w:tc>
          <w:tcPr>
            <w:tcW w:w="700" w:type="dxa"/>
            <w:tcMar>
              <w:top w:w="0" w:type="dxa"/>
              <w:bottom w:w="0" w:type="dxa"/>
            </w:tcMar>
            <w:vAlign w:val="center"/>
          </w:tcPr>
          <w:p w14:paraId="780A3C3B" w14:textId="77777777" w:rsidR="00BF2A52" w:rsidRDefault="00000000" w:rsidP="00316609">
            <w:pPr>
              <w:keepNext/>
              <w:keepLines/>
              <w:spacing w:after="0" w:line="240" w:lineRule="auto"/>
            </w:pPr>
            <w:r>
              <w:rPr>
                <w:sz w:val="18"/>
              </w:rPr>
              <w:t>129</w:t>
            </w:r>
          </w:p>
        </w:tc>
        <w:tc>
          <w:tcPr>
            <w:tcW w:w="1860" w:type="dxa"/>
            <w:tcMar>
              <w:top w:w="0" w:type="dxa"/>
              <w:bottom w:w="0" w:type="dxa"/>
            </w:tcMar>
            <w:vAlign w:val="center"/>
          </w:tcPr>
          <w:p w14:paraId="3BB59F11" w14:textId="77777777" w:rsidR="00BF2A52" w:rsidRDefault="00000000" w:rsidP="00316609">
            <w:pPr>
              <w:keepNext/>
              <w:keepLines/>
              <w:spacing w:after="0" w:line="240" w:lineRule="auto"/>
              <w:jc w:val="right"/>
            </w:pPr>
            <w:r>
              <w:rPr>
                <w:sz w:val="18"/>
              </w:rPr>
              <w:t>1.775,78</w:t>
            </w:r>
          </w:p>
        </w:tc>
        <w:tc>
          <w:tcPr>
            <w:tcW w:w="1860" w:type="dxa"/>
            <w:tcMar>
              <w:top w:w="0" w:type="dxa"/>
              <w:bottom w:w="0" w:type="dxa"/>
            </w:tcMar>
            <w:vAlign w:val="center"/>
          </w:tcPr>
          <w:p w14:paraId="41A41DED" w14:textId="77777777" w:rsidR="00BF2A52" w:rsidRDefault="00000000" w:rsidP="00316609">
            <w:pPr>
              <w:keepNext/>
              <w:keepLines/>
              <w:spacing w:after="0" w:line="240" w:lineRule="auto"/>
              <w:jc w:val="right"/>
            </w:pPr>
            <w:r>
              <w:rPr>
                <w:sz w:val="18"/>
              </w:rPr>
              <w:t>6.818,94</w:t>
            </w:r>
          </w:p>
        </w:tc>
        <w:tc>
          <w:tcPr>
            <w:tcW w:w="700" w:type="dxa"/>
            <w:tcMar>
              <w:top w:w="0" w:type="dxa"/>
              <w:bottom w:w="0" w:type="dxa"/>
            </w:tcMar>
            <w:vAlign w:val="center"/>
          </w:tcPr>
          <w:p w14:paraId="501CE344" w14:textId="77777777" w:rsidR="00BF2A52" w:rsidRDefault="00000000" w:rsidP="00316609">
            <w:pPr>
              <w:keepNext/>
              <w:keepLines/>
              <w:spacing w:after="0" w:line="240" w:lineRule="auto"/>
              <w:jc w:val="right"/>
            </w:pPr>
            <w:r>
              <w:rPr>
                <w:sz w:val="18"/>
              </w:rPr>
              <w:t>384,0</w:t>
            </w:r>
          </w:p>
        </w:tc>
      </w:tr>
    </w:tbl>
    <w:p w14:paraId="749ACAAA" w14:textId="77777777" w:rsidR="00BF2A52" w:rsidRDefault="00BF2A52" w:rsidP="00316609">
      <w:pPr>
        <w:spacing w:after="0" w:line="240" w:lineRule="auto"/>
      </w:pPr>
    </w:p>
    <w:p w14:paraId="715DE459" w14:textId="77777777" w:rsidR="00BF2A52" w:rsidRDefault="00000000" w:rsidP="00316609">
      <w:pPr>
        <w:spacing w:after="0" w:line="240" w:lineRule="auto"/>
      </w:pPr>
      <w:r>
        <w:t xml:space="preserve">Ovo se potraživanje u </w:t>
      </w:r>
      <w:proofErr w:type="spellStart"/>
      <w:r>
        <w:t>cjelnosti</w:t>
      </w:r>
      <w:proofErr w:type="spellEnd"/>
      <w:r>
        <w:t xml:space="preserve"> odnosi na potraživanje za bolovanje od HZZO-a.</w:t>
      </w:r>
    </w:p>
    <w:p w14:paraId="3A0E2FA1" w14:textId="77777777" w:rsidR="00BF2A52" w:rsidRDefault="00BF2A52" w:rsidP="00316609">
      <w:pPr>
        <w:spacing w:after="0" w:line="240" w:lineRule="auto"/>
      </w:pPr>
    </w:p>
    <w:p w14:paraId="4D4612B9" w14:textId="77777777" w:rsidR="00BF2A52" w:rsidRDefault="00000000" w:rsidP="00316609">
      <w:pPr>
        <w:keepNext/>
        <w:spacing w:after="0"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2A52" w14:paraId="777E1D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4917E1" w14:textId="77777777" w:rsidR="00BF2A52" w:rsidRDefault="00000000" w:rsidP="003166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25CFF4" w14:textId="77777777" w:rsidR="00BF2A52" w:rsidRDefault="00000000" w:rsidP="003166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A7ACD6" w14:textId="77777777" w:rsidR="00BF2A52" w:rsidRDefault="00000000" w:rsidP="003166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9E8ED7" w14:textId="77777777" w:rsidR="00BF2A52" w:rsidRDefault="00000000" w:rsidP="0031660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8DACD1D" w14:textId="77777777" w:rsidR="00BF2A52" w:rsidRDefault="00000000" w:rsidP="0031660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CFB8085" w14:textId="77777777" w:rsidR="00BF2A52" w:rsidRDefault="00000000" w:rsidP="00316609">
            <w:pPr>
              <w:keepNext/>
              <w:keepLines/>
              <w:spacing w:after="0" w:line="240" w:lineRule="auto"/>
              <w:jc w:val="center"/>
            </w:pPr>
            <w:r>
              <w:rPr>
                <w:b/>
                <w:sz w:val="18"/>
              </w:rPr>
              <w:t>Indeks (%)</w:t>
            </w:r>
          </w:p>
        </w:tc>
      </w:tr>
      <w:tr w:rsidR="00BF2A52" w14:paraId="0E1F5A5A" w14:textId="77777777">
        <w:tblPrEx>
          <w:tblCellMar>
            <w:top w:w="0" w:type="dxa"/>
            <w:bottom w:w="0" w:type="dxa"/>
          </w:tblCellMar>
        </w:tblPrEx>
        <w:trPr>
          <w:cantSplit/>
          <w:trHeight w:val="560"/>
        </w:trPr>
        <w:tc>
          <w:tcPr>
            <w:tcW w:w="700" w:type="dxa"/>
            <w:tcMar>
              <w:top w:w="0" w:type="dxa"/>
              <w:bottom w:w="0" w:type="dxa"/>
            </w:tcMar>
            <w:vAlign w:val="center"/>
          </w:tcPr>
          <w:p w14:paraId="3C3F61CA" w14:textId="77777777" w:rsidR="00BF2A52" w:rsidRDefault="00000000" w:rsidP="00316609">
            <w:pPr>
              <w:keepNext/>
              <w:keepLines/>
              <w:spacing w:after="0" w:line="240" w:lineRule="auto"/>
            </w:pPr>
            <w:r>
              <w:rPr>
                <w:sz w:val="18"/>
              </w:rPr>
              <w:t>167</w:t>
            </w:r>
          </w:p>
        </w:tc>
        <w:tc>
          <w:tcPr>
            <w:tcW w:w="3180" w:type="dxa"/>
            <w:tcMar>
              <w:top w:w="0" w:type="dxa"/>
              <w:bottom w:w="0" w:type="dxa"/>
            </w:tcMar>
            <w:vAlign w:val="center"/>
          </w:tcPr>
          <w:p w14:paraId="66976091" w14:textId="77777777" w:rsidR="00BF2A52" w:rsidRDefault="00000000" w:rsidP="00316609">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586080E0" w14:textId="77777777" w:rsidR="00BF2A52" w:rsidRDefault="00000000" w:rsidP="00316609">
            <w:pPr>
              <w:keepNext/>
              <w:keepLines/>
              <w:spacing w:after="0" w:line="240" w:lineRule="auto"/>
            </w:pPr>
            <w:r>
              <w:rPr>
                <w:sz w:val="18"/>
              </w:rPr>
              <w:t>167</w:t>
            </w:r>
          </w:p>
        </w:tc>
        <w:tc>
          <w:tcPr>
            <w:tcW w:w="1860" w:type="dxa"/>
            <w:tcMar>
              <w:top w:w="0" w:type="dxa"/>
              <w:bottom w:w="0" w:type="dxa"/>
            </w:tcMar>
            <w:vAlign w:val="center"/>
          </w:tcPr>
          <w:p w14:paraId="093D084A" w14:textId="77777777" w:rsidR="00BF2A52" w:rsidRDefault="00000000" w:rsidP="00316609">
            <w:pPr>
              <w:keepNext/>
              <w:keepLines/>
              <w:spacing w:after="0" w:line="240" w:lineRule="auto"/>
              <w:jc w:val="right"/>
            </w:pPr>
            <w:r>
              <w:rPr>
                <w:sz w:val="18"/>
              </w:rPr>
              <w:t>5.235,90</w:t>
            </w:r>
          </w:p>
        </w:tc>
        <w:tc>
          <w:tcPr>
            <w:tcW w:w="1860" w:type="dxa"/>
            <w:tcMar>
              <w:top w:w="0" w:type="dxa"/>
              <w:bottom w:w="0" w:type="dxa"/>
            </w:tcMar>
            <w:vAlign w:val="center"/>
          </w:tcPr>
          <w:p w14:paraId="0573BC7A" w14:textId="77777777" w:rsidR="00BF2A52" w:rsidRDefault="00000000" w:rsidP="00316609">
            <w:pPr>
              <w:keepNext/>
              <w:keepLines/>
              <w:spacing w:after="0" w:line="240" w:lineRule="auto"/>
              <w:jc w:val="right"/>
            </w:pPr>
            <w:r>
              <w:rPr>
                <w:sz w:val="18"/>
              </w:rPr>
              <w:t>26.988,29</w:t>
            </w:r>
          </w:p>
        </w:tc>
        <w:tc>
          <w:tcPr>
            <w:tcW w:w="700" w:type="dxa"/>
            <w:tcMar>
              <w:top w:w="0" w:type="dxa"/>
              <w:bottom w:w="0" w:type="dxa"/>
            </w:tcMar>
            <w:vAlign w:val="center"/>
          </w:tcPr>
          <w:p w14:paraId="441253A3" w14:textId="77777777" w:rsidR="00BF2A52" w:rsidRDefault="00000000" w:rsidP="00316609">
            <w:pPr>
              <w:keepNext/>
              <w:keepLines/>
              <w:spacing w:after="0" w:line="240" w:lineRule="auto"/>
              <w:jc w:val="right"/>
            </w:pPr>
            <w:r>
              <w:rPr>
                <w:sz w:val="18"/>
              </w:rPr>
              <w:t>515,4</w:t>
            </w:r>
          </w:p>
        </w:tc>
      </w:tr>
    </w:tbl>
    <w:p w14:paraId="63D9E2C5" w14:textId="77777777" w:rsidR="00BF2A52" w:rsidRDefault="00BF2A52" w:rsidP="00316609">
      <w:pPr>
        <w:spacing w:after="0" w:line="240" w:lineRule="auto"/>
      </w:pPr>
    </w:p>
    <w:p w14:paraId="38DD829F" w14:textId="77777777" w:rsidR="00BF2A52" w:rsidRDefault="00000000" w:rsidP="00316609">
      <w:pPr>
        <w:spacing w:after="0" w:line="240" w:lineRule="auto"/>
      </w:pPr>
      <w:r>
        <w:t>Stanje novčanih vlastitih sredstava na kraju obračunskog razdoblja. </w:t>
      </w:r>
    </w:p>
    <w:p w14:paraId="24E8EC8C" w14:textId="77777777" w:rsidR="00BF2A52" w:rsidRDefault="00BF2A52" w:rsidP="00316609">
      <w:pPr>
        <w:spacing w:after="0" w:line="240" w:lineRule="auto"/>
      </w:pPr>
    </w:p>
    <w:p w14:paraId="16C78816" w14:textId="77777777" w:rsidR="00BF2A52" w:rsidRDefault="00000000" w:rsidP="00316609">
      <w:pPr>
        <w:keepNext/>
        <w:spacing w:after="0" w:line="240" w:lineRule="auto"/>
        <w:jc w:val="center"/>
      </w:pPr>
      <w:r>
        <w:rPr>
          <w:b/>
          <w:sz w:val="28"/>
        </w:rPr>
        <w:lastRenderedPageBreak/>
        <w:t>Promjene u vrijednosti i obujmu imovine i obveza</w:t>
      </w:r>
    </w:p>
    <w:p w14:paraId="7FBC6391" w14:textId="77777777" w:rsidR="00BF2A52" w:rsidRDefault="00000000" w:rsidP="00316609">
      <w:pPr>
        <w:keepNext/>
        <w:spacing w:after="0"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2A52" w14:paraId="4490EF6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44BEFD" w14:textId="77777777" w:rsidR="00BF2A52" w:rsidRDefault="00000000" w:rsidP="003166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5FDFED" w14:textId="77777777" w:rsidR="00BF2A52" w:rsidRDefault="00000000" w:rsidP="003166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1E7637" w14:textId="77777777" w:rsidR="00BF2A52" w:rsidRDefault="00000000" w:rsidP="003166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AA0422" w14:textId="77777777" w:rsidR="00BF2A52" w:rsidRDefault="00000000" w:rsidP="00316609">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66D5243" w14:textId="77777777" w:rsidR="00BF2A52" w:rsidRDefault="00000000" w:rsidP="00316609">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AF999E0" w14:textId="77777777" w:rsidR="00BF2A52" w:rsidRDefault="00000000" w:rsidP="00316609">
            <w:pPr>
              <w:keepNext/>
              <w:keepLines/>
              <w:spacing w:after="0" w:line="240" w:lineRule="auto"/>
              <w:jc w:val="center"/>
            </w:pPr>
            <w:r>
              <w:rPr>
                <w:b/>
                <w:sz w:val="18"/>
              </w:rPr>
              <w:t>Indeks (%)</w:t>
            </w:r>
          </w:p>
        </w:tc>
      </w:tr>
      <w:tr w:rsidR="00BF2A52" w14:paraId="75B49BE1" w14:textId="77777777">
        <w:tblPrEx>
          <w:tblCellMar>
            <w:top w:w="0" w:type="dxa"/>
            <w:bottom w:w="0" w:type="dxa"/>
          </w:tblCellMar>
        </w:tblPrEx>
        <w:trPr>
          <w:cantSplit/>
          <w:trHeight w:val="560"/>
        </w:trPr>
        <w:tc>
          <w:tcPr>
            <w:tcW w:w="700" w:type="dxa"/>
            <w:tcMar>
              <w:top w:w="0" w:type="dxa"/>
              <w:bottom w:w="0" w:type="dxa"/>
            </w:tcMar>
            <w:vAlign w:val="center"/>
          </w:tcPr>
          <w:p w14:paraId="073E2CA0" w14:textId="77777777" w:rsidR="00BF2A52" w:rsidRDefault="00000000" w:rsidP="00316609">
            <w:pPr>
              <w:keepNext/>
              <w:keepLines/>
              <w:spacing w:after="0" w:line="240" w:lineRule="auto"/>
            </w:pPr>
            <w:r>
              <w:rPr>
                <w:sz w:val="18"/>
              </w:rPr>
              <w:t>91512</w:t>
            </w:r>
          </w:p>
        </w:tc>
        <w:tc>
          <w:tcPr>
            <w:tcW w:w="3180" w:type="dxa"/>
            <w:tcMar>
              <w:top w:w="0" w:type="dxa"/>
              <w:bottom w:w="0" w:type="dxa"/>
            </w:tcMar>
            <w:vAlign w:val="center"/>
          </w:tcPr>
          <w:p w14:paraId="7742AB8C" w14:textId="77777777" w:rsidR="00BF2A52" w:rsidRDefault="00000000" w:rsidP="00316609">
            <w:pPr>
              <w:keepNext/>
              <w:keepLines/>
              <w:spacing w:after="0" w:line="240" w:lineRule="auto"/>
            </w:pPr>
            <w:r>
              <w:rPr>
                <w:sz w:val="18"/>
              </w:rPr>
              <w:t>Promjene u obujmu imovine (šifre P016+P023)</w:t>
            </w:r>
          </w:p>
        </w:tc>
        <w:tc>
          <w:tcPr>
            <w:tcW w:w="700" w:type="dxa"/>
            <w:tcMar>
              <w:top w:w="0" w:type="dxa"/>
              <w:bottom w:w="0" w:type="dxa"/>
            </w:tcMar>
            <w:vAlign w:val="center"/>
          </w:tcPr>
          <w:p w14:paraId="53BC0741" w14:textId="77777777" w:rsidR="00BF2A52" w:rsidRDefault="00000000" w:rsidP="00316609">
            <w:pPr>
              <w:keepNext/>
              <w:keepLines/>
              <w:spacing w:after="0" w:line="240" w:lineRule="auto"/>
            </w:pPr>
            <w:r>
              <w:rPr>
                <w:sz w:val="18"/>
              </w:rPr>
              <w:t>91512</w:t>
            </w:r>
          </w:p>
        </w:tc>
        <w:tc>
          <w:tcPr>
            <w:tcW w:w="1860" w:type="dxa"/>
            <w:tcMar>
              <w:top w:w="0" w:type="dxa"/>
              <w:bottom w:w="0" w:type="dxa"/>
            </w:tcMar>
            <w:vAlign w:val="center"/>
          </w:tcPr>
          <w:p w14:paraId="6F6F29F1" w14:textId="77777777" w:rsidR="00BF2A52" w:rsidRDefault="00000000" w:rsidP="00316609">
            <w:pPr>
              <w:keepNext/>
              <w:keepLines/>
              <w:spacing w:after="0" w:line="240" w:lineRule="auto"/>
              <w:jc w:val="right"/>
            </w:pPr>
            <w:r>
              <w:rPr>
                <w:sz w:val="18"/>
              </w:rPr>
              <w:t>322.427,50</w:t>
            </w:r>
          </w:p>
        </w:tc>
        <w:tc>
          <w:tcPr>
            <w:tcW w:w="1860" w:type="dxa"/>
            <w:tcMar>
              <w:top w:w="0" w:type="dxa"/>
              <w:bottom w:w="0" w:type="dxa"/>
            </w:tcMar>
            <w:vAlign w:val="center"/>
          </w:tcPr>
          <w:p w14:paraId="16A900E2" w14:textId="77777777" w:rsidR="00BF2A52" w:rsidRDefault="00000000" w:rsidP="00316609">
            <w:pPr>
              <w:keepNext/>
              <w:keepLines/>
              <w:spacing w:after="0" w:line="240" w:lineRule="auto"/>
              <w:jc w:val="right"/>
            </w:pPr>
            <w:r>
              <w:rPr>
                <w:sz w:val="18"/>
              </w:rPr>
              <w:t>0,00</w:t>
            </w:r>
          </w:p>
        </w:tc>
        <w:tc>
          <w:tcPr>
            <w:tcW w:w="700" w:type="dxa"/>
            <w:tcMar>
              <w:top w:w="0" w:type="dxa"/>
              <w:bottom w:w="0" w:type="dxa"/>
            </w:tcMar>
            <w:vAlign w:val="center"/>
          </w:tcPr>
          <w:p w14:paraId="6C939B2A" w14:textId="77777777" w:rsidR="00BF2A52" w:rsidRDefault="00000000" w:rsidP="00316609">
            <w:pPr>
              <w:keepNext/>
              <w:keepLines/>
              <w:spacing w:after="0" w:line="240" w:lineRule="auto"/>
              <w:jc w:val="right"/>
            </w:pPr>
            <w:r>
              <w:rPr>
                <w:sz w:val="18"/>
              </w:rPr>
              <w:t>0</w:t>
            </w:r>
          </w:p>
        </w:tc>
      </w:tr>
    </w:tbl>
    <w:p w14:paraId="2CCD103C" w14:textId="77777777" w:rsidR="00BF2A52" w:rsidRDefault="00BF2A52" w:rsidP="00316609">
      <w:pPr>
        <w:spacing w:after="0" w:line="240" w:lineRule="auto"/>
      </w:pPr>
    </w:p>
    <w:p w14:paraId="51F48D43" w14:textId="77777777" w:rsidR="00BF2A52" w:rsidRDefault="00000000" w:rsidP="00316609">
      <w:pPr>
        <w:spacing w:after="0" w:line="240" w:lineRule="auto"/>
        <w:jc w:val="both"/>
      </w:pPr>
      <w:r>
        <w:t>Oprema primljena darovnim ugovorom od osnivača. Okončanjem radova na novoj lokaciji vrtića, oprema je prenesena na Dječji vrtić Požega. Dio čini dugotrajna imovina, a dio sitni inventar. </w:t>
      </w:r>
    </w:p>
    <w:p w14:paraId="2DDC1769" w14:textId="77777777" w:rsidR="00BF2A52" w:rsidRDefault="00BF2A52" w:rsidP="00316609">
      <w:pPr>
        <w:spacing w:after="0" w:line="240" w:lineRule="auto"/>
      </w:pPr>
    </w:p>
    <w:p w14:paraId="6F7AE957" w14:textId="77777777" w:rsidR="00BF2A52" w:rsidRDefault="00000000" w:rsidP="00316609">
      <w:pPr>
        <w:keepNext/>
        <w:spacing w:after="0" w:line="240" w:lineRule="auto"/>
        <w:jc w:val="center"/>
      </w:pPr>
      <w:r>
        <w:rPr>
          <w:b/>
          <w:sz w:val="28"/>
        </w:rPr>
        <w:t>Izvještaj o obvezama</w:t>
      </w:r>
    </w:p>
    <w:p w14:paraId="59569269" w14:textId="77777777" w:rsidR="00BF2A52" w:rsidRDefault="00000000" w:rsidP="00316609">
      <w:pPr>
        <w:keepNext/>
        <w:spacing w:after="0"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F2A52" w14:paraId="6124CF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3B9DE2" w14:textId="77777777" w:rsidR="00BF2A52" w:rsidRDefault="00000000" w:rsidP="003166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24DBD7" w14:textId="77777777" w:rsidR="00BF2A52" w:rsidRDefault="00000000" w:rsidP="003166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12A0CC" w14:textId="77777777" w:rsidR="00BF2A52" w:rsidRDefault="00000000" w:rsidP="003166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AF75D8" w14:textId="77777777" w:rsidR="00BF2A52" w:rsidRDefault="00000000" w:rsidP="0031660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B48C119" w14:textId="77777777" w:rsidR="00BF2A52" w:rsidRDefault="00000000" w:rsidP="00316609">
            <w:pPr>
              <w:keepNext/>
              <w:keepLines/>
              <w:spacing w:after="0" w:line="240" w:lineRule="auto"/>
              <w:jc w:val="center"/>
            </w:pPr>
            <w:r>
              <w:rPr>
                <w:b/>
                <w:sz w:val="18"/>
              </w:rPr>
              <w:t>Indeks (%)</w:t>
            </w:r>
          </w:p>
        </w:tc>
      </w:tr>
      <w:tr w:rsidR="00BF2A52" w14:paraId="75C187B3" w14:textId="77777777">
        <w:tblPrEx>
          <w:tblCellMar>
            <w:top w:w="0" w:type="dxa"/>
            <w:bottom w:w="0" w:type="dxa"/>
          </w:tblCellMar>
        </w:tblPrEx>
        <w:trPr>
          <w:cantSplit/>
          <w:trHeight w:val="560"/>
        </w:trPr>
        <w:tc>
          <w:tcPr>
            <w:tcW w:w="700" w:type="dxa"/>
            <w:tcMar>
              <w:top w:w="0" w:type="dxa"/>
              <w:bottom w:w="0" w:type="dxa"/>
            </w:tcMar>
            <w:vAlign w:val="center"/>
          </w:tcPr>
          <w:p w14:paraId="5C4963AE" w14:textId="77777777" w:rsidR="00BF2A52" w:rsidRDefault="00BF2A52" w:rsidP="00316609">
            <w:pPr>
              <w:keepNext/>
              <w:keepLines/>
              <w:spacing w:after="0" w:line="240" w:lineRule="auto"/>
            </w:pPr>
          </w:p>
        </w:tc>
        <w:tc>
          <w:tcPr>
            <w:tcW w:w="3180" w:type="dxa"/>
            <w:tcMar>
              <w:top w:w="0" w:type="dxa"/>
              <w:bottom w:w="0" w:type="dxa"/>
            </w:tcMar>
            <w:vAlign w:val="center"/>
          </w:tcPr>
          <w:p w14:paraId="0681E6FA" w14:textId="77777777" w:rsidR="00BF2A52" w:rsidRDefault="00000000" w:rsidP="00316609">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4086B35A" w14:textId="77777777" w:rsidR="00BF2A52" w:rsidRDefault="00000000" w:rsidP="00316609">
            <w:pPr>
              <w:keepNext/>
              <w:keepLines/>
              <w:spacing w:after="0" w:line="240" w:lineRule="auto"/>
            </w:pPr>
            <w:r>
              <w:rPr>
                <w:sz w:val="18"/>
              </w:rPr>
              <w:t>V007</w:t>
            </w:r>
          </w:p>
        </w:tc>
        <w:tc>
          <w:tcPr>
            <w:tcW w:w="1860" w:type="dxa"/>
            <w:tcMar>
              <w:top w:w="0" w:type="dxa"/>
              <w:bottom w:w="0" w:type="dxa"/>
            </w:tcMar>
            <w:vAlign w:val="center"/>
          </w:tcPr>
          <w:p w14:paraId="0A9B55D2" w14:textId="77777777" w:rsidR="00BF2A52" w:rsidRDefault="00000000" w:rsidP="00316609">
            <w:pPr>
              <w:keepNext/>
              <w:keepLines/>
              <w:spacing w:after="0" w:line="240" w:lineRule="auto"/>
              <w:jc w:val="right"/>
            </w:pPr>
            <w:r>
              <w:rPr>
                <w:sz w:val="18"/>
              </w:rPr>
              <w:t>5.345,37</w:t>
            </w:r>
          </w:p>
        </w:tc>
        <w:tc>
          <w:tcPr>
            <w:tcW w:w="700" w:type="dxa"/>
            <w:tcMar>
              <w:top w:w="0" w:type="dxa"/>
              <w:bottom w:w="0" w:type="dxa"/>
            </w:tcMar>
            <w:vAlign w:val="center"/>
          </w:tcPr>
          <w:p w14:paraId="04380FC4" w14:textId="77777777" w:rsidR="00BF2A52" w:rsidRDefault="00000000" w:rsidP="00316609">
            <w:pPr>
              <w:keepNext/>
              <w:keepLines/>
              <w:spacing w:after="0" w:line="240" w:lineRule="auto"/>
              <w:jc w:val="right"/>
            </w:pPr>
            <w:r>
              <w:rPr>
                <w:sz w:val="18"/>
              </w:rPr>
              <w:t>-</w:t>
            </w:r>
          </w:p>
        </w:tc>
      </w:tr>
    </w:tbl>
    <w:p w14:paraId="1C7FD265" w14:textId="77777777" w:rsidR="00BF2A52" w:rsidRDefault="00BF2A52" w:rsidP="00316609">
      <w:pPr>
        <w:spacing w:after="0" w:line="240" w:lineRule="auto"/>
      </w:pPr>
    </w:p>
    <w:p w14:paraId="6EB7239C" w14:textId="77777777" w:rsidR="00BF2A52" w:rsidRDefault="00000000" w:rsidP="00316609">
      <w:pPr>
        <w:spacing w:after="0" w:line="240" w:lineRule="auto"/>
        <w:jc w:val="both"/>
      </w:pPr>
      <w:r>
        <w:t>Nepodmireni računi kasno su zaprimljeni u lokalnu riznicu i nisu mogli biti plaćeni unutar dospijeća (dospijeće je kraj prosinca). </w:t>
      </w:r>
    </w:p>
    <w:p w14:paraId="02DE1D59" w14:textId="77777777" w:rsidR="00BF2A52" w:rsidRDefault="00BF2A52" w:rsidP="00316609">
      <w:pPr>
        <w:spacing w:after="0" w:line="240" w:lineRule="auto"/>
      </w:pPr>
    </w:p>
    <w:sectPr w:rsidR="00BF2A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F2A52"/>
    <w:rsid w:val="001A71D7"/>
    <w:rsid w:val="00316609"/>
    <w:rsid w:val="00A37884"/>
    <w:rsid w:val="00BF2A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CECF"/>
  <w15:docId w15:val="{30D5D87A-593B-4129-9DB5-5465A927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956DE-A1CF-49EE-8252-80A7BA4E2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5332</Characters>
  <Application>Microsoft Office Word</Application>
  <DocSecurity>0</DocSecurity>
  <Lines>44</Lines>
  <Paragraphs>12</Paragraphs>
  <ScaleCrop>false</ScaleCrop>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Slavica  Kruljac</cp:lastModifiedBy>
  <cp:revision>3</cp:revision>
  <dcterms:created xsi:type="dcterms:W3CDTF">2026-02-17T08:36:00Z</dcterms:created>
  <dcterms:modified xsi:type="dcterms:W3CDTF">2026-02-17T08:37:00Z</dcterms:modified>
</cp:coreProperties>
</file>