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AB2B99" w14:paraId="15555ED1" w14:textId="77777777">
        <w:tblPrEx>
          <w:tblCellMar>
            <w:top w:w="0" w:type="dxa"/>
            <w:bottom w:w="0" w:type="dxa"/>
          </w:tblCellMar>
        </w:tblPrEx>
        <w:trPr>
          <w:tblCellSpacing w:w="60" w:type="dxa"/>
        </w:trPr>
        <w:tc>
          <w:tcPr>
            <w:tcW w:w="1200" w:type="pct"/>
            <w:shd w:val="clear" w:color="auto" w:fill="E7F0F9"/>
          </w:tcPr>
          <w:p w14:paraId="56AE7425" w14:textId="77777777" w:rsidR="00AB2B99" w:rsidRDefault="00000000" w:rsidP="007967F3">
            <w:pPr>
              <w:spacing w:after="0" w:line="240" w:lineRule="auto"/>
            </w:pPr>
            <w:r>
              <w:rPr>
                <w:b/>
              </w:rPr>
              <w:t>RKP broj</w:t>
            </w:r>
          </w:p>
        </w:tc>
        <w:tc>
          <w:tcPr>
            <w:tcW w:w="0" w:type="auto"/>
            <w:shd w:val="clear" w:color="auto" w:fill="E7F0F9"/>
          </w:tcPr>
          <w:p w14:paraId="7DAA9CFC" w14:textId="77777777" w:rsidR="00AB2B99" w:rsidRDefault="00000000" w:rsidP="007967F3">
            <w:pPr>
              <w:spacing w:after="0" w:line="240" w:lineRule="auto"/>
            </w:pPr>
            <w:r>
              <w:t>32720</w:t>
            </w:r>
          </w:p>
        </w:tc>
      </w:tr>
      <w:tr w:rsidR="00AB2B99" w14:paraId="204E066B" w14:textId="77777777">
        <w:tblPrEx>
          <w:tblCellMar>
            <w:top w:w="0" w:type="dxa"/>
            <w:bottom w:w="0" w:type="dxa"/>
          </w:tblCellMar>
        </w:tblPrEx>
        <w:trPr>
          <w:tblCellSpacing w:w="60" w:type="dxa"/>
        </w:trPr>
        <w:tc>
          <w:tcPr>
            <w:tcW w:w="1200" w:type="pct"/>
            <w:shd w:val="clear" w:color="auto" w:fill="E7F0F9"/>
          </w:tcPr>
          <w:p w14:paraId="072347BA" w14:textId="77777777" w:rsidR="00AB2B99" w:rsidRDefault="00000000" w:rsidP="007967F3">
            <w:pPr>
              <w:spacing w:after="0" w:line="240" w:lineRule="auto"/>
            </w:pPr>
            <w:r>
              <w:rPr>
                <w:b/>
              </w:rPr>
              <w:t>Naziv obveznika</w:t>
            </w:r>
          </w:p>
        </w:tc>
        <w:tc>
          <w:tcPr>
            <w:tcW w:w="0" w:type="auto"/>
            <w:shd w:val="clear" w:color="auto" w:fill="E7F0F9"/>
          </w:tcPr>
          <w:p w14:paraId="6F836F34" w14:textId="77777777" w:rsidR="00AB2B99" w:rsidRDefault="00000000" w:rsidP="007967F3">
            <w:pPr>
              <w:spacing w:after="0" w:line="240" w:lineRule="auto"/>
            </w:pPr>
            <w:r>
              <w:t>JAVNA VATROGASNA POSTROJBA GRADA POŽEGE</w:t>
            </w:r>
          </w:p>
        </w:tc>
      </w:tr>
      <w:tr w:rsidR="00AB2B99" w14:paraId="4911FC09" w14:textId="77777777">
        <w:tblPrEx>
          <w:tblCellMar>
            <w:top w:w="0" w:type="dxa"/>
            <w:bottom w:w="0" w:type="dxa"/>
          </w:tblCellMar>
        </w:tblPrEx>
        <w:trPr>
          <w:tblCellSpacing w:w="60" w:type="dxa"/>
        </w:trPr>
        <w:tc>
          <w:tcPr>
            <w:tcW w:w="1200" w:type="pct"/>
            <w:shd w:val="clear" w:color="auto" w:fill="E7F0F9"/>
          </w:tcPr>
          <w:p w14:paraId="6C58F955" w14:textId="77777777" w:rsidR="00AB2B99" w:rsidRDefault="00000000" w:rsidP="007967F3">
            <w:pPr>
              <w:spacing w:after="0" w:line="240" w:lineRule="auto"/>
            </w:pPr>
            <w:r>
              <w:rPr>
                <w:b/>
              </w:rPr>
              <w:t>Razina</w:t>
            </w:r>
          </w:p>
        </w:tc>
        <w:tc>
          <w:tcPr>
            <w:tcW w:w="0" w:type="auto"/>
            <w:shd w:val="clear" w:color="auto" w:fill="E7F0F9"/>
          </w:tcPr>
          <w:p w14:paraId="2C621024" w14:textId="77777777" w:rsidR="00AB2B99" w:rsidRDefault="00000000" w:rsidP="007967F3">
            <w:pPr>
              <w:spacing w:after="0" w:line="240" w:lineRule="auto"/>
            </w:pPr>
            <w:r>
              <w:t>31</w:t>
            </w:r>
          </w:p>
        </w:tc>
      </w:tr>
    </w:tbl>
    <w:p w14:paraId="51FEBFA2" w14:textId="77777777" w:rsidR="00AB2B99" w:rsidRDefault="00000000" w:rsidP="007967F3">
      <w:pPr>
        <w:spacing w:after="0" w:line="240" w:lineRule="auto"/>
      </w:pPr>
      <w:r>
        <w:br/>
      </w:r>
    </w:p>
    <w:p w14:paraId="350A85F0" w14:textId="77777777" w:rsidR="00AB2B99" w:rsidRDefault="00000000" w:rsidP="007967F3">
      <w:pPr>
        <w:spacing w:after="0" w:line="240" w:lineRule="auto"/>
        <w:jc w:val="center"/>
      </w:pPr>
      <w:r>
        <w:rPr>
          <w:b/>
          <w:sz w:val="28"/>
        </w:rPr>
        <w:t>BILJEŠKE UZ FINANCIJSKE IZVJEŠTAJE</w:t>
      </w:r>
    </w:p>
    <w:p w14:paraId="6FC12B17" w14:textId="77777777" w:rsidR="00AB2B99" w:rsidRDefault="00000000" w:rsidP="007967F3">
      <w:pPr>
        <w:spacing w:after="0" w:line="240" w:lineRule="auto"/>
        <w:jc w:val="center"/>
      </w:pPr>
      <w:r>
        <w:rPr>
          <w:b/>
          <w:sz w:val="28"/>
        </w:rPr>
        <w:t>ZA RAZDOBLJE</w:t>
      </w:r>
    </w:p>
    <w:p w14:paraId="609F0891" w14:textId="77777777" w:rsidR="00AB2B99" w:rsidRDefault="00000000" w:rsidP="007967F3">
      <w:pPr>
        <w:spacing w:after="0" w:line="240" w:lineRule="auto"/>
        <w:jc w:val="center"/>
      </w:pPr>
      <w:r>
        <w:rPr>
          <w:b/>
          <w:sz w:val="28"/>
        </w:rPr>
        <w:t>I - XII 2025.</w:t>
      </w:r>
    </w:p>
    <w:p w14:paraId="50187C37" w14:textId="77777777" w:rsidR="00AB2B99" w:rsidRDefault="00AB2B99" w:rsidP="007967F3">
      <w:pPr>
        <w:spacing w:after="0" w:line="240" w:lineRule="auto"/>
      </w:pPr>
    </w:p>
    <w:p w14:paraId="56622624" w14:textId="77777777" w:rsidR="00AB2B99" w:rsidRDefault="00000000" w:rsidP="007967F3">
      <w:pPr>
        <w:keepNext/>
        <w:spacing w:after="0" w:line="240" w:lineRule="auto"/>
        <w:jc w:val="center"/>
      </w:pPr>
      <w:r>
        <w:rPr>
          <w:b/>
          <w:sz w:val="28"/>
        </w:rPr>
        <w:t>Izvještaj o prihodima i rashodima, primicima i izdacima</w:t>
      </w:r>
    </w:p>
    <w:p w14:paraId="0E5E1CF5" w14:textId="77777777" w:rsidR="00AB2B99" w:rsidRDefault="00000000" w:rsidP="007967F3">
      <w:pPr>
        <w:keepNext/>
        <w:spacing w:after="0"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B2B99" w14:paraId="6BD6EFA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89895E" w14:textId="77777777" w:rsidR="00AB2B99" w:rsidRDefault="00000000" w:rsidP="007967F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667B4FC" w14:textId="77777777" w:rsidR="00AB2B99" w:rsidRDefault="00000000" w:rsidP="007967F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971F96" w14:textId="77777777" w:rsidR="00AB2B99" w:rsidRDefault="00000000" w:rsidP="007967F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A370AB" w14:textId="77777777" w:rsidR="00AB2B99" w:rsidRDefault="00000000" w:rsidP="007967F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262C49" w14:textId="77777777" w:rsidR="00AB2B99" w:rsidRDefault="00000000" w:rsidP="007967F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7DB008" w14:textId="77777777" w:rsidR="00AB2B99" w:rsidRDefault="00000000" w:rsidP="007967F3">
            <w:pPr>
              <w:keepNext/>
              <w:keepLines/>
              <w:spacing w:after="0" w:line="240" w:lineRule="auto"/>
              <w:jc w:val="center"/>
            </w:pPr>
            <w:r>
              <w:rPr>
                <w:b/>
                <w:sz w:val="18"/>
              </w:rPr>
              <w:t>Indeks (%)</w:t>
            </w:r>
          </w:p>
        </w:tc>
      </w:tr>
      <w:tr w:rsidR="00AB2B99" w14:paraId="680A3132" w14:textId="77777777">
        <w:tblPrEx>
          <w:tblCellMar>
            <w:top w:w="0" w:type="dxa"/>
            <w:bottom w:w="0" w:type="dxa"/>
          </w:tblCellMar>
        </w:tblPrEx>
        <w:trPr>
          <w:cantSplit/>
          <w:trHeight w:val="560"/>
        </w:trPr>
        <w:tc>
          <w:tcPr>
            <w:tcW w:w="700" w:type="dxa"/>
            <w:tcMar>
              <w:top w:w="0" w:type="dxa"/>
              <w:bottom w:w="0" w:type="dxa"/>
            </w:tcMar>
            <w:vAlign w:val="center"/>
          </w:tcPr>
          <w:p w14:paraId="2FB3F3B1" w14:textId="77777777" w:rsidR="00AB2B99" w:rsidRDefault="00000000" w:rsidP="007967F3">
            <w:pPr>
              <w:keepNext/>
              <w:keepLines/>
              <w:spacing w:after="0" w:line="240" w:lineRule="auto"/>
            </w:pPr>
            <w:r>
              <w:rPr>
                <w:sz w:val="18"/>
              </w:rPr>
              <w:t>6</w:t>
            </w:r>
          </w:p>
        </w:tc>
        <w:tc>
          <w:tcPr>
            <w:tcW w:w="3180" w:type="dxa"/>
            <w:tcMar>
              <w:top w:w="0" w:type="dxa"/>
              <w:bottom w:w="0" w:type="dxa"/>
            </w:tcMar>
            <w:vAlign w:val="center"/>
          </w:tcPr>
          <w:p w14:paraId="25989F0D" w14:textId="77777777" w:rsidR="00AB2B99" w:rsidRDefault="00000000" w:rsidP="007967F3">
            <w:pPr>
              <w:keepNext/>
              <w:keepLines/>
              <w:spacing w:after="0" w:line="240" w:lineRule="auto"/>
            </w:pPr>
            <w:r>
              <w:rPr>
                <w:sz w:val="18"/>
              </w:rPr>
              <w:t>PRIHODI POSLOVANJA (šifre 61+62+63+64+65+66+67+68)</w:t>
            </w:r>
          </w:p>
        </w:tc>
        <w:tc>
          <w:tcPr>
            <w:tcW w:w="700" w:type="dxa"/>
            <w:tcMar>
              <w:top w:w="0" w:type="dxa"/>
              <w:bottom w:w="0" w:type="dxa"/>
            </w:tcMar>
            <w:vAlign w:val="center"/>
          </w:tcPr>
          <w:p w14:paraId="6B1A6FB7" w14:textId="77777777" w:rsidR="00AB2B99" w:rsidRDefault="00000000" w:rsidP="007967F3">
            <w:pPr>
              <w:keepNext/>
              <w:keepLines/>
              <w:spacing w:after="0" w:line="240" w:lineRule="auto"/>
            </w:pPr>
            <w:r>
              <w:rPr>
                <w:sz w:val="18"/>
              </w:rPr>
              <w:t>6</w:t>
            </w:r>
          </w:p>
        </w:tc>
        <w:tc>
          <w:tcPr>
            <w:tcW w:w="1860" w:type="dxa"/>
            <w:tcMar>
              <w:top w:w="0" w:type="dxa"/>
              <w:bottom w:w="0" w:type="dxa"/>
            </w:tcMar>
            <w:vAlign w:val="center"/>
          </w:tcPr>
          <w:p w14:paraId="703CAFF2" w14:textId="77777777" w:rsidR="00AB2B99" w:rsidRDefault="00000000" w:rsidP="007967F3">
            <w:pPr>
              <w:keepNext/>
              <w:keepLines/>
              <w:spacing w:after="0" w:line="240" w:lineRule="auto"/>
              <w:jc w:val="right"/>
            </w:pPr>
            <w:r>
              <w:rPr>
                <w:sz w:val="18"/>
              </w:rPr>
              <w:t>757.220,66</w:t>
            </w:r>
          </w:p>
        </w:tc>
        <w:tc>
          <w:tcPr>
            <w:tcW w:w="1860" w:type="dxa"/>
            <w:tcMar>
              <w:top w:w="0" w:type="dxa"/>
              <w:bottom w:w="0" w:type="dxa"/>
            </w:tcMar>
            <w:vAlign w:val="center"/>
          </w:tcPr>
          <w:p w14:paraId="6336C97A" w14:textId="77777777" w:rsidR="00AB2B99" w:rsidRDefault="00000000" w:rsidP="007967F3">
            <w:pPr>
              <w:keepNext/>
              <w:keepLines/>
              <w:spacing w:after="0" w:line="240" w:lineRule="auto"/>
              <w:jc w:val="right"/>
            </w:pPr>
            <w:r>
              <w:rPr>
                <w:sz w:val="18"/>
              </w:rPr>
              <w:t>944.903,00</w:t>
            </w:r>
          </w:p>
        </w:tc>
        <w:tc>
          <w:tcPr>
            <w:tcW w:w="700" w:type="dxa"/>
            <w:tcMar>
              <w:top w:w="0" w:type="dxa"/>
              <w:bottom w:w="0" w:type="dxa"/>
            </w:tcMar>
            <w:vAlign w:val="center"/>
          </w:tcPr>
          <w:p w14:paraId="47DC432F" w14:textId="77777777" w:rsidR="00AB2B99" w:rsidRDefault="00000000" w:rsidP="007967F3">
            <w:pPr>
              <w:keepNext/>
              <w:keepLines/>
              <w:spacing w:after="0" w:line="240" w:lineRule="auto"/>
              <w:jc w:val="right"/>
            </w:pPr>
            <w:r>
              <w:rPr>
                <w:sz w:val="18"/>
              </w:rPr>
              <w:t>124,8</w:t>
            </w:r>
          </w:p>
        </w:tc>
      </w:tr>
      <w:tr w:rsidR="00AB2B99" w14:paraId="0C82B59A" w14:textId="77777777">
        <w:tblPrEx>
          <w:tblCellMar>
            <w:top w:w="0" w:type="dxa"/>
            <w:bottom w:w="0" w:type="dxa"/>
          </w:tblCellMar>
        </w:tblPrEx>
        <w:trPr>
          <w:cantSplit/>
          <w:trHeight w:val="560"/>
        </w:trPr>
        <w:tc>
          <w:tcPr>
            <w:tcW w:w="700" w:type="dxa"/>
            <w:tcMar>
              <w:top w:w="0" w:type="dxa"/>
              <w:bottom w:w="0" w:type="dxa"/>
            </w:tcMar>
            <w:vAlign w:val="center"/>
          </w:tcPr>
          <w:p w14:paraId="6A0E442C" w14:textId="77777777" w:rsidR="00AB2B99" w:rsidRDefault="00000000" w:rsidP="007967F3">
            <w:pPr>
              <w:keepNext/>
              <w:keepLines/>
              <w:spacing w:after="0" w:line="240" w:lineRule="auto"/>
            </w:pPr>
            <w:r>
              <w:rPr>
                <w:sz w:val="18"/>
              </w:rPr>
              <w:t>3</w:t>
            </w:r>
          </w:p>
        </w:tc>
        <w:tc>
          <w:tcPr>
            <w:tcW w:w="3180" w:type="dxa"/>
            <w:tcMar>
              <w:top w:w="0" w:type="dxa"/>
              <w:bottom w:w="0" w:type="dxa"/>
            </w:tcMar>
            <w:vAlign w:val="center"/>
          </w:tcPr>
          <w:p w14:paraId="405A333C" w14:textId="77777777" w:rsidR="00AB2B99" w:rsidRDefault="00000000" w:rsidP="007967F3">
            <w:pPr>
              <w:keepNext/>
              <w:keepLines/>
              <w:spacing w:after="0" w:line="240" w:lineRule="auto"/>
            </w:pPr>
            <w:r>
              <w:rPr>
                <w:sz w:val="18"/>
              </w:rPr>
              <w:t>RASHODI POSLOVANJA (šifre 31+32+34+35+36+37+38)</w:t>
            </w:r>
          </w:p>
        </w:tc>
        <w:tc>
          <w:tcPr>
            <w:tcW w:w="700" w:type="dxa"/>
            <w:tcMar>
              <w:top w:w="0" w:type="dxa"/>
              <w:bottom w:w="0" w:type="dxa"/>
            </w:tcMar>
            <w:vAlign w:val="center"/>
          </w:tcPr>
          <w:p w14:paraId="5F6C6A2C" w14:textId="77777777" w:rsidR="00AB2B99" w:rsidRDefault="00000000" w:rsidP="007967F3">
            <w:pPr>
              <w:keepNext/>
              <w:keepLines/>
              <w:spacing w:after="0" w:line="240" w:lineRule="auto"/>
            </w:pPr>
            <w:r>
              <w:rPr>
                <w:sz w:val="18"/>
              </w:rPr>
              <w:t>3</w:t>
            </w:r>
          </w:p>
        </w:tc>
        <w:tc>
          <w:tcPr>
            <w:tcW w:w="1860" w:type="dxa"/>
            <w:tcMar>
              <w:top w:w="0" w:type="dxa"/>
              <w:bottom w:w="0" w:type="dxa"/>
            </w:tcMar>
            <w:vAlign w:val="center"/>
          </w:tcPr>
          <w:p w14:paraId="5D3210F8" w14:textId="77777777" w:rsidR="00AB2B99" w:rsidRDefault="00000000" w:rsidP="007967F3">
            <w:pPr>
              <w:keepNext/>
              <w:keepLines/>
              <w:spacing w:after="0" w:line="240" w:lineRule="auto"/>
              <w:jc w:val="right"/>
            </w:pPr>
            <w:r>
              <w:rPr>
                <w:sz w:val="18"/>
              </w:rPr>
              <w:t>752.743,11</w:t>
            </w:r>
          </w:p>
        </w:tc>
        <w:tc>
          <w:tcPr>
            <w:tcW w:w="1860" w:type="dxa"/>
            <w:tcMar>
              <w:top w:w="0" w:type="dxa"/>
              <w:bottom w:w="0" w:type="dxa"/>
            </w:tcMar>
            <w:vAlign w:val="center"/>
          </w:tcPr>
          <w:p w14:paraId="64C1E504" w14:textId="77777777" w:rsidR="00AB2B99" w:rsidRDefault="00000000" w:rsidP="007967F3">
            <w:pPr>
              <w:keepNext/>
              <w:keepLines/>
              <w:spacing w:after="0" w:line="240" w:lineRule="auto"/>
              <w:jc w:val="right"/>
            </w:pPr>
            <w:r>
              <w:rPr>
                <w:sz w:val="18"/>
              </w:rPr>
              <w:t>1.018.396,26</w:t>
            </w:r>
          </w:p>
        </w:tc>
        <w:tc>
          <w:tcPr>
            <w:tcW w:w="700" w:type="dxa"/>
            <w:tcMar>
              <w:top w:w="0" w:type="dxa"/>
              <w:bottom w:w="0" w:type="dxa"/>
            </w:tcMar>
            <w:vAlign w:val="center"/>
          </w:tcPr>
          <w:p w14:paraId="7D7BAC02" w14:textId="77777777" w:rsidR="00AB2B99" w:rsidRDefault="00000000" w:rsidP="007967F3">
            <w:pPr>
              <w:keepNext/>
              <w:keepLines/>
              <w:spacing w:after="0" w:line="240" w:lineRule="auto"/>
              <w:jc w:val="right"/>
            </w:pPr>
            <w:r>
              <w:rPr>
                <w:sz w:val="18"/>
              </w:rPr>
              <w:t>135,3</w:t>
            </w:r>
          </w:p>
        </w:tc>
      </w:tr>
      <w:tr w:rsidR="00AB2B99" w14:paraId="26F494ED" w14:textId="77777777">
        <w:tblPrEx>
          <w:tblCellMar>
            <w:top w:w="0" w:type="dxa"/>
            <w:bottom w:w="0" w:type="dxa"/>
          </w:tblCellMar>
        </w:tblPrEx>
        <w:trPr>
          <w:cantSplit/>
          <w:trHeight w:val="560"/>
        </w:trPr>
        <w:tc>
          <w:tcPr>
            <w:tcW w:w="700" w:type="dxa"/>
            <w:tcMar>
              <w:top w:w="0" w:type="dxa"/>
              <w:bottom w:w="0" w:type="dxa"/>
            </w:tcMar>
            <w:vAlign w:val="center"/>
          </w:tcPr>
          <w:p w14:paraId="0D7D8594" w14:textId="77777777" w:rsidR="00AB2B99" w:rsidRDefault="00AB2B99" w:rsidP="007967F3">
            <w:pPr>
              <w:keepNext/>
              <w:keepLines/>
              <w:spacing w:after="0" w:line="240" w:lineRule="auto"/>
            </w:pPr>
          </w:p>
        </w:tc>
        <w:tc>
          <w:tcPr>
            <w:tcW w:w="3180" w:type="dxa"/>
            <w:tcMar>
              <w:top w:w="0" w:type="dxa"/>
              <w:bottom w:w="0" w:type="dxa"/>
            </w:tcMar>
            <w:vAlign w:val="center"/>
          </w:tcPr>
          <w:p w14:paraId="237A2DD3" w14:textId="77777777" w:rsidR="00AB2B99" w:rsidRDefault="00000000" w:rsidP="007967F3">
            <w:pPr>
              <w:keepNext/>
              <w:keepLines/>
              <w:spacing w:after="0" w:line="240" w:lineRule="auto"/>
            </w:pPr>
            <w:r>
              <w:rPr>
                <w:b/>
                <w:sz w:val="18"/>
              </w:rPr>
              <w:t>MANJAK PRIHODA POSLOVANJA (šifre Z005-6)</w:t>
            </w:r>
          </w:p>
        </w:tc>
        <w:tc>
          <w:tcPr>
            <w:tcW w:w="700" w:type="dxa"/>
            <w:tcMar>
              <w:top w:w="0" w:type="dxa"/>
              <w:bottom w:w="0" w:type="dxa"/>
            </w:tcMar>
            <w:vAlign w:val="center"/>
          </w:tcPr>
          <w:p w14:paraId="213CADD4" w14:textId="77777777" w:rsidR="00AB2B99" w:rsidRDefault="00000000" w:rsidP="007967F3">
            <w:pPr>
              <w:keepNext/>
              <w:keepLines/>
              <w:spacing w:after="0" w:line="240" w:lineRule="auto"/>
            </w:pPr>
            <w:r>
              <w:rPr>
                <w:b/>
                <w:sz w:val="18"/>
              </w:rPr>
              <w:t>Y001</w:t>
            </w:r>
          </w:p>
        </w:tc>
        <w:tc>
          <w:tcPr>
            <w:tcW w:w="1860" w:type="dxa"/>
            <w:tcMar>
              <w:top w:w="0" w:type="dxa"/>
              <w:bottom w:w="0" w:type="dxa"/>
            </w:tcMar>
            <w:vAlign w:val="center"/>
          </w:tcPr>
          <w:p w14:paraId="2FE55E01" w14:textId="77777777" w:rsidR="00AB2B99" w:rsidRDefault="00000000" w:rsidP="007967F3">
            <w:pPr>
              <w:keepNext/>
              <w:keepLines/>
              <w:spacing w:after="0" w:line="240" w:lineRule="auto"/>
              <w:jc w:val="right"/>
            </w:pPr>
            <w:r>
              <w:rPr>
                <w:b/>
                <w:sz w:val="18"/>
              </w:rPr>
              <w:t>0,00</w:t>
            </w:r>
          </w:p>
        </w:tc>
        <w:tc>
          <w:tcPr>
            <w:tcW w:w="1860" w:type="dxa"/>
            <w:tcMar>
              <w:top w:w="0" w:type="dxa"/>
              <w:bottom w:w="0" w:type="dxa"/>
            </w:tcMar>
            <w:vAlign w:val="center"/>
          </w:tcPr>
          <w:p w14:paraId="0D542ADA" w14:textId="77777777" w:rsidR="00AB2B99" w:rsidRDefault="00000000" w:rsidP="007967F3">
            <w:pPr>
              <w:keepNext/>
              <w:keepLines/>
              <w:spacing w:after="0" w:line="240" w:lineRule="auto"/>
              <w:jc w:val="right"/>
            </w:pPr>
            <w:r>
              <w:rPr>
                <w:b/>
                <w:sz w:val="18"/>
              </w:rPr>
              <w:t>73.493,26</w:t>
            </w:r>
          </w:p>
        </w:tc>
        <w:tc>
          <w:tcPr>
            <w:tcW w:w="700" w:type="dxa"/>
            <w:tcMar>
              <w:top w:w="0" w:type="dxa"/>
              <w:bottom w:w="0" w:type="dxa"/>
            </w:tcMar>
            <w:vAlign w:val="center"/>
          </w:tcPr>
          <w:p w14:paraId="70FCA28B" w14:textId="77777777" w:rsidR="00AB2B99" w:rsidRDefault="00000000" w:rsidP="007967F3">
            <w:pPr>
              <w:keepNext/>
              <w:keepLines/>
              <w:spacing w:after="0" w:line="240" w:lineRule="auto"/>
              <w:jc w:val="right"/>
            </w:pPr>
            <w:r>
              <w:rPr>
                <w:b/>
                <w:sz w:val="18"/>
              </w:rPr>
              <w:t>-</w:t>
            </w:r>
          </w:p>
        </w:tc>
      </w:tr>
      <w:tr w:rsidR="00AB2B99" w14:paraId="30730191" w14:textId="77777777">
        <w:tblPrEx>
          <w:tblCellMar>
            <w:top w:w="0" w:type="dxa"/>
            <w:bottom w:w="0" w:type="dxa"/>
          </w:tblCellMar>
        </w:tblPrEx>
        <w:trPr>
          <w:cantSplit/>
          <w:trHeight w:val="560"/>
        </w:trPr>
        <w:tc>
          <w:tcPr>
            <w:tcW w:w="700" w:type="dxa"/>
            <w:tcMar>
              <w:top w:w="0" w:type="dxa"/>
              <w:bottom w:w="0" w:type="dxa"/>
            </w:tcMar>
            <w:vAlign w:val="center"/>
          </w:tcPr>
          <w:p w14:paraId="10020744" w14:textId="77777777" w:rsidR="00AB2B99" w:rsidRDefault="00000000" w:rsidP="007967F3">
            <w:pPr>
              <w:keepNext/>
              <w:keepLines/>
              <w:spacing w:after="0" w:line="240" w:lineRule="auto"/>
            </w:pPr>
            <w:r>
              <w:rPr>
                <w:sz w:val="18"/>
              </w:rPr>
              <w:t>7</w:t>
            </w:r>
          </w:p>
        </w:tc>
        <w:tc>
          <w:tcPr>
            <w:tcW w:w="3180" w:type="dxa"/>
            <w:tcMar>
              <w:top w:w="0" w:type="dxa"/>
              <w:bottom w:w="0" w:type="dxa"/>
            </w:tcMar>
            <w:vAlign w:val="center"/>
          </w:tcPr>
          <w:p w14:paraId="38DD73E6" w14:textId="77777777" w:rsidR="00AB2B99" w:rsidRDefault="00000000" w:rsidP="007967F3">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22B4213D" w14:textId="77777777" w:rsidR="00AB2B99" w:rsidRDefault="00000000" w:rsidP="007967F3">
            <w:pPr>
              <w:keepNext/>
              <w:keepLines/>
              <w:spacing w:after="0" w:line="240" w:lineRule="auto"/>
            </w:pPr>
            <w:r>
              <w:rPr>
                <w:sz w:val="18"/>
              </w:rPr>
              <w:t>7</w:t>
            </w:r>
          </w:p>
        </w:tc>
        <w:tc>
          <w:tcPr>
            <w:tcW w:w="1860" w:type="dxa"/>
            <w:tcMar>
              <w:top w:w="0" w:type="dxa"/>
              <w:bottom w:w="0" w:type="dxa"/>
            </w:tcMar>
            <w:vAlign w:val="center"/>
          </w:tcPr>
          <w:p w14:paraId="736BDD1A" w14:textId="77777777" w:rsidR="00AB2B99" w:rsidRDefault="00000000" w:rsidP="007967F3">
            <w:pPr>
              <w:keepNext/>
              <w:keepLines/>
              <w:spacing w:after="0" w:line="240" w:lineRule="auto"/>
              <w:jc w:val="right"/>
            </w:pPr>
            <w:r>
              <w:rPr>
                <w:sz w:val="18"/>
              </w:rPr>
              <w:t>0,00</w:t>
            </w:r>
          </w:p>
        </w:tc>
        <w:tc>
          <w:tcPr>
            <w:tcW w:w="1860" w:type="dxa"/>
            <w:tcMar>
              <w:top w:w="0" w:type="dxa"/>
              <w:bottom w:w="0" w:type="dxa"/>
            </w:tcMar>
            <w:vAlign w:val="center"/>
          </w:tcPr>
          <w:p w14:paraId="0C0E1447" w14:textId="77777777" w:rsidR="00AB2B99" w:rsidRDefault="00000000" w:rsidP="007967F3">
            <w:pPr>
              <w:keepNext/>
              <w:keepLines/>
              <w:spacing w:after="0" w:line="240" w:lineRule="auto"/>
              <w:jc w:val="right"/>
            </w:pPr>
            <w:r>
              <w:rPr>
                <w:sz w:val="18"/>
              </w:rPr>
              <w:t>0,00</w:t>
            </w:r>
          </w:p>
        </w:tc>
        <w:tc>
          <w:tcPr>
            <w:tcW w:w="700" w:type="dxa"/>
            <w:tcMar>
              <w:top w:w="0" w:type="dxa"/>
              <w:bottom w:w="0" w:type="dxa"/>
            </w:tcMar>
            <w:vAlign w:val="center"/>
          </w:tcPr>
          <w:p w14:paraId="132C9594" w14:textId="77777777" w:rsidR="00AB2B99" w:rsidRDefault="00000000" w:rsidP="007967F3">
            <w:pPr>
              <w:keepNext/>
              <w:keepLines/>
              <w:spacing w:after="0" w:line="240" w:lineRule="auto"/>
              <w:jc w:val="right"/>
            </w:pPr>
            <w:r>
              <w:rPr>
                <w:sz w:val="18"/>
              </w:rPr>
              <w:t>-</w:t>
            </w:r>
          </w:p>
        </w:tc>
      </w:tr>
      <w:tr w:rsidR="00AB2B99" w14:paraId="3A864A0E" w14:textId="77777777">
        <w:tblPrEx>
          <w:tblCellMar>
            <w:top w:w="0" w:type="dxa"/>
            <w:bottom w:w="0" w:type="dxa"/>
          </w:tblCellMar>
        </w:tblPrEx>
        <w:trPr>
          <w:cantSplit/>
          <w:trHeight w:val="560"/>
        </w:trPr>
        <w:tc>
          <w:tcPr>
            <w:tcW w:w="700" w:type="dxa"/>
            <w:tcMar>
              <w:top w:w="0" w:type="dxa"/>
              <w:bottom w:w="0" w:type="dxa"/>
            </w:tcMar>
            <w:vAlign w:val="center"/>
          </w:tcPr>
          <w:p w14:paraId="470FF75C" w14:textId="77777777" w:rsidR="00AB2B99" w:rsidRDefault="00000000" w:rsidP="007967F3">
            <w:pPr>
              <w:keepNext/>
              <w:keepLines/>
              <w:spacing w:after="0" w:line="240" w:lineRule="auto"/>
            </w:pPr>
            <w:r>
              <w:rPr>
                <w:sz w:val="18"/>
              </w:rPr>
              <w:t>4</w:t>
            </w:r>
          </w:p>
        </w:tc>
        <w:tc>
          <w:tcPr>
            <w:tcW w:w="3180" w:type="dxa"/>
            <w:tcMar>
              <w:top w:w="0" w:type="dxa"/>
              <w:bottom w:w="0" w:type="dxa"/>
            </w:tcMar>
            <w:vAlign w:val="center"/>
          </w:tcPr>
          <w:p w14:paraId="4A915C8A" w14:textId="77777777" w:rsidR="00AB2B99" w:rsidRDefault="00000000" w:rsidP="007967F3">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4597E4FC" w14:textId="77777777" w:rsidR="00AB2B99" w:rsidRDefault="00000000" w:rsidP="007967F3">
            <w:pPr>
              <w:keepNext/>
              <w:keepLines/>
              <w:spacing w:after="0" w:line="240" w:lineRule="auto"/>
            </w:pPr>
            <w:r>
              <w:rPr>
                <w:sz w:val="18"/>
              </w:rPr>
              <w:t>4</w:t>
            </w:r>
          </w:p>
        </w:tc>
        <w:tc>
          <w:tcPr>
            <w:tcW w:w="1860" w:type="dxa"/>
            <w:tcMar>
              <w:top w:w="0" w:type="dxa"/>
              <w:bottom w:w="0" w:type="dxa"/>
            </w:tcMar>
            <w:vAlign w:val="center"/>
          </w:tcPr>
          <w:p w14:paraId="6F3882FE" w14:textId="77777777" w:rsidR="00AB2B99" w:rsidRDefault="00000000" w:rsidP="007967F3">
            <w:pPr>
              <w:keepNext/>
              <w:keepLines/>
              <w:spacing w:after="0" w:line="240" w:lineRule="auto"/>
              <w:jc w:val="right"/>
            </w:pPr>
            <w:r>
              <w:rPr>
                <w:sz w:val="18"/>
              </w:rPr>
              <w:t>11.217,71</w:t>
            </w:r>
          </w:p>
        </w:tc>
        <w:tc>
          <w:tcPr>
            <w:tcW w:w="1860" w:type="dxa"/>
            <w:tcMar>
              <w:top w:w="0" w:type="dxa"/>
              <w:bottom w:w="0" w:type="dxa"/>
            </w:tcMar>
            <w:vAlign w:val="center"/>
          </w:tcPr>
          <w:p w14:paraId="6606363E" w14:textId="77777777" w:rsidR="00AB2B99" w:rsidRDefault="00000000" w:rsidP="007967F3">
            <w:pPr>
              <w:keepNext/>
              <w:keepLines/>
              <w:spacing w:after="0" w:line="240" w:lineRule="auto"/>
              <w:jc w:val="right"/>
            </w:pPr>
            <w:r>
              <w:rPr>
                <w:sz w:val="18"/>
              </w:rPr>
              <w:t>7.678,20</w:t>
            </w:r>
          </w:p>
        </w:tc>
        <w:tc>
          <w:tcPr>
            <w:tcW w:w="700" w:type="dxa"/>
            <w:tcMar>
              <w:top w:w="0" w:type="dxa"/>
              <w:bottom w:w="0" w:type="dxa"/>
            </w:tcMar>
            <w:vAlign w:val="center"/>
          </w:tcPr>
          <w:p w14:paraId="175BDEFD" w14:textId="77777777" w:rsidR="00AB2B99" w:rsidRDefault="00000000" w:rsidP="007967F3">
            <w:pPr>
              <w:keepNext/>
              <w:keepLines/>
              <w:spacing w:after="0" w:line="240" w:lineRule="auto"/>
              <w:jc w:val="right"/>
            </w:pPr>
            <w:r>
              <w:rPr>
                <w:sz w:val="18"/>
              </w:rPr>
              <w:t>68,4</w:t>
            </w:r>
          </w:p>
        </w:tc>
      </w:tr>
      <w:tr w:rsidR="00AB2B99" w14:paraId="3DFEAFE3" w14:textId="77777777">
        <w:tblPrEx>
          <w:tblCellMar>
            <w:top w:w="0" w:type="dxa"/>
            <w:bottom w:w="0" w:type="dxa"/>
          </w:tblCellMar>
        </w:tblPrEx>
        <w:trPr>
          <w:cantSplit/>
          <w:trHeight w:val="560"/>
        </w:trPr>
        <w:tc>
          <w:tcPr>
            <w:tcW w:w="700" w:type="dxa"/>
            <w:tcMar>
              <w:top w:w="0" w:type="dxa"/>
              <w:bottom w:w="0" w:type="dxa"/>
            </w:tcMar>
            <w:vAlign w:val="center"/>
          </w:tcPr>
          <w:p w14:paraId="4CD3D320" w14:textId="77777777" w:rsidR="00AB2B99" w:rsidRDefault="00AB2B99" w:rsidP="007967F3">
            <w:pPr>
              <w:keepNext/>
              <w:keepLines/>
              <w:spacing w:after="0" w:line="240" w:lineRule="auto"/>
            </w:pPr>
          </w:p>
        </w:tc>
        <w:tc>
          <w:tcPr>
            <w:tcW w:w="3180" w:type="dxa"/>
            <w:tcMar>
              <w:top w:w="0" w:type="dxa"/>
              <w:bottom w:w="0" w:type="dxa"/>
            </w:tcMar>
            <w:vAlign w:val="center"/>
          </w:tcPr>
          <w:p w14:paraId="75575CDF" w14:textId="77777777" w:rsidR="00AB2B99" w:rsidRDefault="00000000" w:rsidP="007967F3">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3392C695" w14:textId="77777777" w:rsidR="00AB2B99" w:rsidRDefault="00000000" w:rsidP="007967F3">
            <w:pPr>
              <w:keepNext/>
              <w:keepLines/>
              <w:spacing w:after="0" w:line="240" w:lineRule="auto"/>
            </w:pPr>
            <w:r>
              <w:rPr>
                <w:b/>
                <w:sz w:val="18"/>
              </w:rPr>
              <w:t>Y002</w:t>
            </w:r>
          </w:p>
        </w:tc>
        <w:tc>
          <w:tcPr>
            <w:tcW w:w="1860" w:type="dxa"/>
            <w:tcMar>
              <w:top w:w="0" w:type="dxa"/>
              <w:bottom w:w="0" w:type="dxa"/>
            </w:tcMar>
            <w:vAlign w:val="center"/>
          </w:tcPr>
          <w:p w14:paraId="20D90771" w14:textId="77777777" w:rsidR="00AB2B99" w:rsidRDefault="00000000" w:rsidP="007967F3">
            <w:pPr>
              <w:keepNext/>
              <w:keepLines/>
              <w:spacing w:after="0" w:line="240" w:lineRule="auto"/>
              <w:jc w:val="right"/>
            </w:pPr>
            <w:r>
              <w:rPr>
                <w:b/>
                <w:sz w:val="18"/>
              </w:rPr>
              <w:t>11.217,71</w:t>
            </w:r>
          </w:p>
        </w:tc>
        <w:tc>
          <w:tcPr>
            <w:tcW w:w="1860" w:type="dxa"/>
            <w:tcMar>
              <w:top w:w="0" w:type="dxa"/>
              <w:bottom w:w="0" w:type="dxa"/>
            </w:tcMar>
            <w:vAlign w:val="center"/>
          </w:tcPr>
          <w:p w14:paraId="40FF2E33" w14:textId="77777777" w:rsidR="00AB2B99" w:rsidRDefault="00000000" w:rsidP="007967F3">
            <w:pPr>
              <w:keepNext/>
              <w:keepLines/>
              <w:spacing w:after="0" w:line="240" w:lineRule="auto"/>
              <w:jc w:val="right"/>
            </w:pPr>
            <w:r>
              <w:rPr>
                <w:b/>
                <w:sz w:val="18"/>
              </w:rPr>
              <w:t>7.678,20</w:t>
            </w:r>
          </w:p>
        </w:tc>
        <w:tc>
          <w:tcPr>
            <w:tcW w:w="700" w:type="dxa"/>
            <w:tcMar>
              <w:top w:w="0" w:type="dxa"/>
              <w:bottom w:w="0" w:type="dxa"/>
            </w:tcMar>
            <w:vAlign w:val="center"/>
          </w:tcPr>
          <w:p w14:paraId="189C448E" w14:textId="77777777" w:rsidR="00AB2B99" w:rsidRDefault="00000000" w:rsidP="007967F3">
            <w:pPr>
              <w:keepNext/>
              <w:keepLines/>
              <w:spacing w:after="0" w:line="240" w:lineRule="auto"/>
              <w:jc w:val="right"/>
            </w:pPr>
            <w:r>
              <w:rPr>
                <w:b/>
                <w:sz w:val="18"/>
              </w:rPr>
              <w:t>68,4</w:t>
            </w:r>
          </w:p>
        </w:tc>
      </w:tr>
      <w:tr w:rsidR="00AB2B99" w14:paraId="5986E7DF" w14:textId="77777777">
        <w:tblPrEx>
          <w:tblCellMar>
            <w:top w:w="0" w:type="dxa"/>
            <w:bottom w:w="0" w:type="dxa"/>
          </w:tblCellMar>
        </w:tblPrEx>
        <w:trPr>
          <w:cantSplit/>
          <w:trHeight w:val="560"/>
        </w:trPr>
        <w:tc>
          <w:tcPr>
            <w:tcW w:w="700" w:type="dxa"/>
            <w:tcMar>
              <w:top w:w="0" w:type="dxa"/>
              <w:bottom w:w="0" w:type="dxa"/>
            </w:tcMar>
            <w:vAlign w:val="center"/>
          </w:tcPr>
          <w:p w14:paraId="6EAE690F" w14:textId="77777777" w:rsidR="00AB2B99" w:rsidRDefault="00000000" w:rsidP="007967F3">
            <w:pPr>
              <w:keepNext/>
              <w:keepLines/>
              <w:spacing w:after="0" w:line="240" w:lineRule="auto"/>
            </w:pPr>
            <w:r>
              <w:rPr>
                <w:sz w:val="18"/>
              </w:rPr>
              <w:t>8</w:t>
            </w:r>
          </w:p>
        </w:tc>
        <w:tc>
          <w:tcPr>
            <w:tcW w:w="3180" w:type="dxa"/>
            <w:tcMar>
              <w:top w:w="0" w:type="dxa"/>
              <w:bottom w:w="0" w:type="dxa"/>
            </w:tcMar>
            <w:vAlign w:val="center"/>
          </w:tcPr>
          <w:p w14:paraId="34015D3C" w14:textId="77777777" w:rsidR="00AB2B99" w:rsidRDefault="00000000" w:rsidP="007967F3">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33629925" w14:textId="77777777" w:rsidR="00AB2B99" w:rsidRDefault="00000000" w:rsidP="007967F3">
            <w:pPr>
              <w:keepNext/>
              <w:keepLines/>
              <w:spacing w:after="0" w:line="240" w:lineRule="auto"/>
            </w:pPr>
            <w:r>
              <w:rPr>
                <w:sz w:val="18"/>
              </w:rPr>
              <w:t>8</w:t>
            </w:r>
          </w:p>
        </w:tc>
        <w:tc>
          <w:tcPr>
            <w:tcW w:w="1860" w:type="dxa"/>
            <w:tcMar>
              <w:top w:w="0" w:type="dxa"/>
              <w:bottom w:w="0" w:type="dxa"/>
            </w:tcMar>
            <w:vAlign w:val="center"/>
          </w:tcPr>
          <w:p w14:paraId="6899EBD1" w14:textId="77777777" w:rsidR="00AB2B99" w:rsidRDefault="00000000" w:rsidP="007967F3">
            <w:pPr>
              <w:keepNext/>
              <w:keepLines/>
              <w:spacing w:after="0" w:line="240" w:lineRule="auto"/>
              <w:jc w:val="right"/>
            </w:pPr>
            <w:r>
              <w:rPr>
                <w:sz w:val="18"/>
              </w:rPr>
              <w:t>0,00</w:t>
            </w:r>
          </w:p>
        </w:tc>
        <w:tc>
          <w:tcPr>
            <w:tcW w:w="1860" w:type="dxa"/>
            <w:tcMar>
              <w:top w:w="0" w:type="dxa"/>
              <w:bottom w:w="0" w:type="dxa"/>
            </w:tcMar>
            <w:vAlign w:val="center"/>
          </w:tcPr>
          <w:p w14:paraId="73F8A6C9" w14:textId="77777777" w:rsidR="00AB2B99" w:rsidRDefault="00000000" w:rsidP="007967F3">
            <w:pPr>
              <w:keepNext/>
              <w:keepLines/>
              <w:spacing w:after="0" w:line="240" w:lineRule="auto"/>
              <w:jc w:val="right"/>
            </w:pPr>
            <w:r>
              <w:rPr>
                <w:sz w:val="18"/>
              </w:rPr>
              <w:t>0,00</w:t>
            </w:r>
          </w:p>
        </w:tc>
        <w:tc>
          <w:tcPr>
            <w:tcW w:w="700" w:type="dxa"/>
            <w:tcMar>
              <w:top w:w="0" w:type="dxa"/>
              <w:bottom w:w="0" w:type="dxa"/>
            </w:tcMar>
            <w:vAlign w:val="center"/>
          </w:tcPr>
          <w:p w14:paraId="25236282" w14:textId="77777777" w:rsidR="00AB2B99" w:rsidRDefault="00000000" w:rsidP="007967F3">
            <w:pPr>
              <w:keepNext/>
              <w:keepLines/>
              <w:spacing w:after="0" w:line="240" w:lineRule="auto"/>
              <w:jc w:val="right"/>
            </w:pPr>
            <w:r>
              <w:rPr>
                <w:sz w:val="18"/>
              </w:rPr>
              <w:t>-</w:t>
            </w:r>
          </w:p>
        </w:tc>
      </w:tr>
      <w:tr w:rsidR="00AB2B99" w14:paraId="71673041" w14:textId="77777777">
        <w:tblPrEx>
          <w:tblCellMar>
            <w:top w:w="0" w:type="dxa"/>
            <w:bottom w:w="0" w:type="dxa"/>
          </w:tblCellMar>
        </w:tblPrEx>
        <w:trPr>
          <w:cantSplit/>
          <w:trHeight w:val="560"/>
        </w:trPr>
        <w:tc>
          <w:tcPr>
            <w:tcW w:w="700" w:type="dxa"/>
            <w:tcMar>
              <w:top w:w="0" w:type="dxa"/>
              <w:bottom w:w="0" w:type="dxa"/>
            </w:tcMar>
            <w:vAlign w:val="center"/>
          </w:tcPr>
          <w:p w14:paraId="277A3D44" w14:textId="77777777" w:rsidR="00AB2B99" w:rsidRDefault="00000000" w:rsidP="007967F3">
            <w:pPr>
              <w:keepNext/>
              <w:keepLines/>
              <w:spacing w:after="0" w:line="240" w:lineRule="auto"/>
            </w:pPr>
            <w:r>
              <w:rPr>
                <w:sz w:val="18"/>
              </w:rPr>
              <w:t>5</w:t>
            </w:r>
          </w:p>
        </w:tc>
        <w:tc>
          <w:tcPr>
            <w:tcW w:w="3180" w:type="dxa"/>
            <w:tcMar>
              <w:top w:w="0" w:type="dxa"/>
              <w:bottom w:w="0" w:type="dxa"/>
            </w:tcMar>
            <w:vAlign w:val="center"/>
          </w:tcPr>
          <w:p w14:paraId="178D18B8" w14:textId="77777777" w:rsidR="00AB2B99" w:rsidRDefault="00000000" w:rsidP="007967F3">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1AFA1B78" w14:textId="77777777" w:rsidR="00AB2B99" w:rsidRDefault="00000000" w:rsidP="007967F3">
            <w:pPr>
              <w:keepNext/>
              <w:keepLines/>
              <w:spacing w:after="0" w:line="240" w:lineRule="auto"/>
            </w:pPr>
            <w:r>
              <w:rPr>
                <w:sz w:val="18"/>
              </w:rPr>
              <w:t>5</w:t>
            </w:r>
          </w:p>
        </w:tc>
        <w:tc>
          <w:tcPr>
            <w:tcW w:w="1860" w:type="dxa"/>
            <w:tcMar>
              <w:top w:w="0" w:type="dxa"/>
              <w:bottom w:w="0" w:type="dxa"/>
            </w:tcMar>
            <w:vAlign w:val="center"/>
          </w:tcPr>
          <w:p w14:paraId="07FC8F28" w14:textId="77777777" w:rsidR="00AB2B99" w:rsidRDefault="00000000" w:rsidP="007967F3">
            <w:pPr>
              <w:keepNext/>
              <w:keepLines/>
              <w:spacing w:after="0" w:line="240" w:lineRule="auto"/>
              <w:jc w:val="right"/>
            </w:pPr>
            <w:r>
              <w:rPr>
                <w:sz w:val="18"/>
              </w:rPr>
              <w:t>0,00</w:t>
            </w:r>
          </w:p>
        </w:tc>
        <w:tc>
          <w:tcPr>
            <w:tcW w:w="1860" w:type="dxa"/>
            <w:tcMar>
              <w:top w:w="0" w:type="dxa"/>
              <w:bottom w:w="0" w:type="dxa"/>
            </w:tcMar>
            <w:vAlign w:val="center"/>
          </w:tcPr>
          <w:p w14:paraId="7F0CACB9" w14:textId="77777777" w:rsidR="00AB2B99" w:rsidRDefault="00000000" w:rsidP="007967F3">
            <w:pPr>
              <w:keepNext/>
              <w:keepLines/>
              <w:spacing w:after="0" w:line="240" w:lineRule="auto"/>
              <w:jc w:val="right"/>
            </w:pPr>
            <w:r>
              <w:rPr>
                <w:sz w:val="18"/>
              </w:rPr>
              <w:t>0,00</w:t>
            </w:r>
          </w:p>
        </w:tc>
        <w:tc>
          <w:tcPr>
            <w:tcW w:w="700" w:type="dxa"/>
            <w:tcMar>
              <w:top w:w="0" w:type="dxa"/>
              <w:bottom w:w="0" w:type="dxa"/>
            </w:tcMar>
            <w:vAlign w:val="center"/>
          </w:tcPr>
          <w:p w14:paraId="244B2214" w14:textId="77777777" w:rsidR="00AB2B99" w:rsidRDefault="00000000" w:rsidP="007967F3">
            <w:pPr>
              <w:keepNext/>
              <w:keepLines/>
              <w:spacing w:after="0" w:line="240" w:lineRule="auto"/>
              <w:jc w:val="right"/>
            </w:pPr>
            <w:r>
              <w:rPr>
                <w:sz w:val="18"/>
              </w:rPr>
              <w:t>-</w:t>
            </w:r>
          </w:p>
        </w:tc>
      </w:tr>
      <w:tr w:rsidR="00AB2B99" w14:paraId="3C59089E" w14:textId="77777777">
        <w:tblPrEx>
          <w:tblCellMar>
            <w:top w:w="0" w:type="dxa"/>
            <w:bottom w:w="0" w:type="dxa"/>
          </w:tblCellMar>
        </w:tblPrEx>
        <w:trPr>
          <w:cantSplit/>
          <w:trHeight w:val="560"/>
        </w:trPr>
        <w:tc>
          <w:tcPr>
            <w:tcW w:w="700" w:type="dxa"/>
            <w:tcMar>
              <w:top w:w="0" w:type="dxa"/>
              <w:bottom w:w="0" w:type="dxa"/>
            </w:tcMar>
            <w:vAlign w:val="center"/>
          </w:tcPr>
          <w:p w14:paraId="1EB32966" w14:textId="77777777" w:rsidR="00AB2B99" w:rsidRDefault="00AB2B99" w:rsidP="007967F3">
            <w:pPr>
              <w:keepNext/>
              <w:keepLines/>
              <w:spacing w:after="0" w:line="240" w:lineRule="auto"/>
            </w:pPr>
          </w:p>
        </w:tc>
        <w:tc>
          <w:tcPr>
            <w:tcW w:w="3180" w:type="dxa"/>
            <w:tcMar>
              <w:top w:w="0" w:type="dxa"/>
              <w:bottom w:w="0" w:type="dxa"/>
            </w:tcMar>
            <w:vAlign w:val="center"/>
          </w:tcPr>
          <w:p w14:paraId="5A47E43A" w14:textId="77777777" w:rsidR="00AB2B99" w:rsidRDefault="00000000" w:rsidP="007967F3">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130B6B6D" w14:textId="77777777" w:rsidR="00AB2B99" w:rsidRDefault="00000000" w:rsidP="007967F3">
            <w:pPr>
              <w:keepNext/>
              <w:keepLines/>
              <w:spacing w:after="0" w:line="240" w:lineRule="auto"/>
            </w:pPr>
            <w:r>
              <w:rPr>
                <w:b/>
                <w:sz w:val="18"/>
              </w:rPr>
              <w:t>X003, Y003</w:t>
            </w:r>
          </w:p>
        </w:tc>
        <w:tc>
          <w:tcPr>
            <w:tcW w:w="1860" w:type="dxa"/>
            <w:tcMar>
              <w:top w:w="0" w:type="dxa"/>
              <w:bottom w:w="0" w:type="dxa"/>
            </w:tcMar>
            <w:vAlign w:val="center"/>
          </w:tcPr>
          <w:p w14:paraId="3824ECB8" w14:textId="77777777" w:rsidR="00AB2B99" w:rsidRDefault="00000000" w:rsidP="007967F3">
            <w:pPr>
              <w:keepNext/>
              <w:keepLines/>
              <w:spacing w:after="0" w:line="240" w:lineRule="auto"/>
              <w:jc w:val="right"/>
            </w:pPr>
            <w:r>
              <w:rPr>
                <w:b/>
                <w:sz w:val="18"/>
              </w:rPr>
              <w:t>0,00</w:t>
            </w:r>
          </w:p>
        </w:tc>
        <w:tc>
          <w:tcPr>
            <w:tcW w:w="1860" w:type="dxa"/>
            <w:tcMar>
              <w:top w:w="0" w:type="dxa"/>
              <w:bottom w:w="0" w:type="dxa"/>
            </w:tcMar>
            <w:vAlign w:val="center"/>
          </w:tcPr>
          <w:p w14:paraId="7B9A2A8D" w14:textId="77777777" w:rsidR="00AB2B99" w:rsidRDefault="00000000" w:rsidP="007967F3">
            <w:pPr>
              <w:keepNext/>
              <w:keepLines/>
              <w:spacing w:after="0" w:line="240" w:lineRule="auto"/>
              <w:jc w:val="right"/>
            </w:pPr>
            <w:r>
              <w:rPr>
                <w:b/>
                <w:sz w:val="18"/>
              </w:rPr>
              <w:t>0,00</w:t>
            </w:r>
          </w:p>
        </w:tc>
        <w:tc>
          <w:tcPr>
            <w:tcW w:w="700" w:type="dxa"/>
            <w:tcMar>
              <w:top w:w="0" w:type="dxa"/>
              <w:bottom w:w="0" w:type="dxa"/>
            </w:tcMar>
            <w:vAlign w:val="center"/>
          </w:tcPr>
          <w:p w14:paraId="645F7003" w14:textId="77777777" w:rsidR="00AB2B99" w:rsidRDefault="00000000" w:rsidP="007967F3">
            <w:pPr>
              <w:keepNext/>
              <w:keepLines/>
              <w:spacing w:after="0" w:line="240" w:lineRule="auto"/>
              <w:jc w:val="right"/>
            </w:pPr>
            <w:r>
              <w:rPr>
                <w:b/>
                <w:sz w:val="18"/>
              </w:rPr>
              <w:t>-</w:t>
            </w:r>
          </w:p>
        </w:tc>
      </w:tr>
      <w:tr w:rsidR="00AB2B99" w14:paraId="15D7BEF0" w14:textId="77777777">
        <w:tblPrEx>
          <w:tblCellMar>
            <w:top w:w="0" w:type="dxa"/>
            <w:bottom w:w="0" w:type="dxa"/>
          </w:tblCellMar>
        </w:tblPrEx>
        <w:trPr>
          <w:cantSplit/>
          <w:trHeight w:val="560"/>
        </w:trPr>
        <w:tc>
          <w:tcPr>
            <w:tcW w:w="700" w:type="dxa"/>
            <w:tcMar>
              <w:top w:w="0" w:type="dxa"/>
              <w:bottom w:w="0" w:type="dxa"/>
            </w:tcMar>
            <w:vAlign w:val="center"/>
          </w:tcPr>
          <w:p w14:paraId="3EAC73F5" w14:textId="77777777" w:rsidR="00AB2B99" w:rsidRDefault="00AB2B99" w:rsidP="007967F3">
            <w:pPr>
              <w:keepNext/>
              <w:keepLines/>
              <w:spacing w:after="0" w:line="240" w:lineRule="auto"/>
            </w:pPr>
          </w:p>
        </w:tc>
        <w:tc>
          <w:tcPr>
            <w:tcW w:w="3180" w:type="dxa"/>
            <w:tcMar>
              <w:top w:w="0" w:type="dxa"/>
              <w:bottom w:w="0" w:type="dxa"/>
            </w:tcMar>
            <w:vAlign w:val="center"/>
          </w:tcPr>
          <w:p w14:paraId="78E960AE" w14:textId="77777777" w:rsidR="00AB2B99" w:rsidRDefault="00000000" w:rsidP="007967F3">
            <w:pPr>
              <w:keepNext/>
              <w:keepLines/>
              <w:spacing w:after="0" w:line="240" w:lineRule="auto"/>
            </w:pPr>
            <w:r>
              <w:rPr>
                <w:b/>
                <w:sz w:val="18"/>
              </w:rPr>
              <w:t>MANJAK PRIHODA I PRIMITAKA (šifre Y345-X678)</w:t>
            </w:r>
          </w:p>
        </w:tc>
        <w:tc>
          <w:tcPr>
            <w:tcW w:w="700" w:type="dxa"/>
            <w:tcMar>
              <w:top w:w="0" w:type="dxa"/>
              <w:bottom w:w="0" w:type="dxa"/>
            </w:tcMar>
            <w:vAlign w:val="center"/>
          </w:tcPr>
          <w:p w14:paraId="2C2EFBE2" w14:textId="77777777" w:rsidR="00AB2B99" w:rsidRDefault="00000000" w:rsidP="007967F3">
            <w:pPr>
              <w:keepNext/>
              <w:keepLines/>
              <w:spacing w:after="0" w:line="240" w:lineRule="auto"/>
            </w:pPr>
            <w:r>
              <w:rPr>
                <w:b/>
                <w:sz w:val="18"/>
              </w:rPr>
              <w:t>Y005</w:t>
            </w:r>
          </w:p>
        </w:tc>
        <w:tc>
          <w:tcPr>
            <w:tcW w:w="1860" w:type="dxa"/>
            <w:tcMar>
              <w:top w:w="0" w:type="dxa"/>
              <w:bottom w:w="0" w:type="dxa"/>
            </w:tcMar>
            <w:vAlign w:val="center"/>
          </w:tcPr>
          <w:p w14:paraId="2181CC91" w14:textId="77777777" w:rsidR="00AB2B99" w:rsidRDefault="00000000" w:rsidP="007967F3">
            <w:pPr>
              <w:keepNext/>
              <w:keepLines/>
              <w:spacing w:after="0" w:line="240" w:lineRule="auto"/>
              <w:jc w:val="right"/>
            </w:pPr>
            <w:r>
              <w:rPr>
                <w:b/>
                <w:sz w:val="18"/>
              </w:rPr>
              <w:t>6.740,16</w:t>
            </w:r>
          </w:p>
        </w:tc>
        <w:tc>
          <w:tcPr>
            <w:tcW w:w="1860" w:type="dxa"/>
            <w:tcMar>
              <w:top w:w="0" w:type="dxa"/>
              <w:bottom w:w="0" w:type="dxa"/>
            </w:tcMar>
            <w:vAlign w:val="center"/>
          </w:tcPr>
          <w:p w14:paraId="0B91AAC0" w14:textId="77777777" w:rsidR="00AB2B99" w:rsidRDefault="00000000" w:rsidP="007967F3">
            <w:pPr>
              <w:keepNext/>
              <w:keepLines/>
              <w:spacing w:after="0" w:line="240" w:lineRule="auto"/>
              <w:jc w:val="right"/>
            </w:pPr>
            <w:r>
              <w:rPr>
                <w:b/>
                <w:sz w:val="18"/>
              </w:rPr>
              <w:t>81.171,46</w:t>
            </w:r>
          </w:p>
        </w:tc>
        <w:tc>
          <w:tcPr>
            <w:tcW w:w="700" w:type="dxa"/>
            <w:tcMar>
              <w:top w:w="0" w:type="dxa"/>
              <w:bottom w:w="0" w:type="dxa"/>
            </w:tcMar>
            <w:vAlign w:val="center"/>
          </w:tcPr>
          <w:p w14:paraId="6E503395" w14:textId="77777777" w:rsidR="00AB2B99" w:rsidRDefault="00000000" w:rsidP="007967F3">
            <w:pPr>
              <w:keepNext/>
              <w:keepLines/>
              <w:spacing w:after="0" w:line="240" w:lineRule="auto"/>
              <w:jc w:val="right"/>
            </w:pPr>
            <w:r>
              <w:rPr>
                <w:b/>
                <w:sz w:val="18"/>
              </w:rPr>
              <w:t>1204,3</w:t>
            </w:r>
          </w:p>
        </w:tc>
      </w:tr>
    </w:tbl>
    <w:p w14:paraId="10C4AE92" w14:textId="77777777" w:rsidR="00AB2B99" w:rsidRDefault="00AB2B99" w:rsidP="007967F3">
      <w:pPr>
        <w:spacing w:after="0" w:line="240" w:lineRule="auto"/>
      </w:pPr>
    </w:p>
    <w:p w14:paraId="6469BF0D" w14:textId="77777777" w:rsidR="00AB2B99" w:rsidRDefault="00000000" w:rsidP="007967F3">
      <w:pPr>
        <w:spacing w:after="0" w:line="240" w:lineRule="auto"/>
        <w:jc w:val="both"/>
      </w:pPr>
      <w:r>
        <w:t>Tijekom 2025. ostvaren je prihod u iznosu 944.903,00 eura, rashod u iznosu 1.026.074.,46 eura iz čega proizlazi tekući manjak u iznosu 81.171,46 eura. Uzevši u obzir višak ostvaren u prethodnom razdoblju u iznosu 7.524,27 eura rezultat za prenijeti u sljedeće razdoblje predstavlja manjak u iznosu 73.647,19 eura. </w:t>
      </w:r>
    </w:p>
    <w:p w14:paraId="47D32F69" w14:textId="77777777" w:rsidR="00AB2B99" w:rsidRDefault="00000000" w:rsidP="007967F3">
      <w:pPr>
        <w:spacing w:after="0" w:line="240" w:lineRule="auto"/>
        <w:jc w:val="both"/>
      </w:pPr>
      <w:r>
        <w:t>On se sastoji od viška od 5.440,00 eura i metodološkog manjka u iznosu 79.087,19 eura. Metodološki manjak sastoji se od neplaćenih računa iz izvora 1.0. i 13. plaće za prosinac koja je evidentirana na rashodu 2025., a isplaćena 2026. godine.  </w:t>
      </w:r>
    </w:p>
    <w:p w14:paraId="0BCEB93F" w14:textId="77777777" w:rsidR="00AB2B99" w:rsidRDefault="00000000" w:rsidP="007967F3">
      <w:pPr>
        <w:spacing w:after="0" w:line="240" w:lineRule="auto"/>
      </w:pPr>
      <w:r>
        <w:br/>
      </w:r>
    </w:p>
    <w:p w14:paraId="14A56128" w14:textId="77777777" w:rsidR="00AB2B99" w:rsidRDefault="00000000" w:rsidP="007967F3">
      <w:pPr>
        <w:keepNext/>
        <w:spacing w:after="0" w:line="240" w:lineRule="auto"/>
        <w:jc w:val="center"/>
      </w:pPr>
      <w:r>
        <w:rPr>
          <w:sz w:val="28"/>
        </w:rPr>
        <w:lastRenderedPageBreak/>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B2B99" w14:paraId="23F2750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8D0902" w14:textId="77777777" w:rsidR="00AB2B99" w:rsidRDefault="00000000" w:rsidP="007967F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9F6485" w14:textId="77777777" w:rsidR="00AB2B99" w:rsidRDefault="00000000" w:rsidP="007967F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E03781" w14:textId="77777777" w:rsidR="00AB2B99" w:rsidRDefault="00000000" w:rsidP="007967F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BE2D00" w14:textId="77777777" w:rsidR="00AB2B99" w:rsidRDefault="00000000" w:rsidP="007967F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D12A60" w14:textId="77777777" w:rsidR="00AB2B99" w:rsidRDefault="00000000" w:rsidP="007967F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536265" w14:textId="77777777" w:rsidR="00AB2B99" w:rsidRDefault="00000000" w:rsidP="007967F3">
            <w:pPr>
              <w:keepNext/>
              <w:keepLines/>
              <w:spacing w:after="0" w:line="240" w:lineRule="auto"/>
              <w:jc w:val="center"/>
            </w:pPr>
            <w:r>
              <w:rPr>
                <w:b/>
                <w:sz w:val="18"/>
              </w:rPr>
              <w:t>Indeks (%)</w:t>
            </w:r>
          </w:p>
        </w:tc>
      </w:tr>
      <w:tr w:rsidR="00AB2B99" w14:paraId="24EB8DF0" w14:textId="77777777">
        <w:tblPrEx>
          <w:tblCellMar>
            <w:top w:w="0" w:type="dxa"/>
            <w:bottom w:w="0" w:type="dxa"/>
          </w:tblCellMar>
        </w:tblPrEx>
        <w:trPr>
          <w:cantSplit/>
          <w:trHeight w:val="560"/>
        </w:trPr>
        <w:tc>
          <w:tcPr>
            <w:tcW w:w="700" w:type="dxa"/>
            <w:tcMar>
              <w:top w:w="0" w:type="dxa"/>
              <w:bottom w:w="0" w:type="dxa"/>
            </w:tcMar>
            <w:vAlign w:val="center"/>
          </w:tcPr>
          <w:p w14:paraId="2780CAE3" w14:textId="77777777" w:rsidR="00AB2B99" w:rsidRDefault="00000000" w:rsidP="007967F3">
            <w:pPr>
              <w:keepNext/>
              <w:keepLines/>
              <w:spacing w:after="0" w:line="240" w:lineRule="auto"/>
            </w:pPr>
            <w:r>
              <w:rPr>
                <w:sz w:val="18"/>
              </w:rPr>
              <w:t>6361</w:t>
            </w:r>
          </w:p>
        </w:tc>
        <w:tc>
          <w:tcPr>
            <w:tcW w:w="3180" w:type="dxa"/>
            <w:tcMar>
              <w:top w:w="0" w:type="dxa"/>
              <w:bottom w:w="0" w:type="dxa"/>
            </w:tcMar>
            <w:vAlign w:val="center"/>
          </w:tcPr>
          <w:p w14:paraId="12F44088" w14:textId="77777777" w:rsidR="00AB2B99" w:rsidRDefault="00000000" w:rsidP="007967F3">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3F5C619F" w14:textId="77777777" w:rsidR="00AB2B99" w:rsidRDefault="00000000" w:rsidP="007967F3">
            <w:pPr>
              <w:keepNext/>
              <w:keepLines/>
              <w:spacing w:after="0" w:line="240" w:lineRule="auto"/>
            </w:pPr>
            <w:r>
              <w:rPr>
                <w:sz w:val="18"/>
              </w:rPr>
              <w:t>6361</w:t>
            </w:r>
          </w:p>
        </w:tc>
        <w:tc>
          <w:tcPr>
            <w:tcW w:w="1860" w:type="dxa"/>
            <w:tcMar>
              <w:top w:w="0" w:type="dxa"/>
              <w:bottom w:w="0" w:type="dxa"/>
            </w:tcMar>
            <w:vAlign w:val="center"/>
          </w:tcPr>
          <w:p w14:paraId="5619DDC9" w14:textId="77777777" w:rsidR="00AB2B99" w:rsidRDefault="00000000" w:rsidP="007967F3">
            <w:pPr>
              <w:keepNext/>
              <w:keepLines/>
              <w:spacing w:after="0" w:line="240" w:lineRule="auto"/>
              <w:jc w:val="right"/>
            </w:pPr>
            <w:r>
              <w:rPr>
                <w:sz w:val="18"/>
              </w:rPr>
              <w:t>3.230,64</w:t>
            </w:r>
          </w:p>
        </w:tc>
        <w:tc>
          <w:tcPr>
            <w:tcW w:w="1860" w:type="dxa"/>
            <w:tcMar>
              <w:top w:w="0" w:type="dxa"/>
              <w:bottom w:w="0" w:type="dxa"/>
            </w:tcMar>
            <w:vAlign w:val="center"/>
          </w:tcPr>
          <w:p w14:paraId="395E5DBC" w14:textId="77777777" w:rsidR="00AB2B99" w:rsidRDefault="00000000" w:rsidP="007967F3">
            <w:pPr>
              <w:keepNext/>
              <w:keepLines/>
              <w:spacing w:after="0" w:line="240" w:lineRule="auto"/>
              <w:jc w:val="right"/>
            </w:pPr>
            <w:r>
              <w:rPr>
                <w:sz w:val="18"/>
              </w:rPr>
              <w:t>5.028,85</w:t>
            </w:r>
          </w:p>
        </w:tc>
        <w:tc>
          <w:tcPr>
            <w:tcW w:w="700" w:type="dxa"/>
            <w:tcMar>
              <w:top w:w="0" w:type="dxa"/>
              <w:bottom w:w="0" w:type="dxa"/>
            </w:tcMar>
            <w:vAlign w:val="center"/>
          </w:tcPr>
          <w:p w14:paraId="743EB67B" w14:textId="77777777" w:rsidR="00AB2B99" w:rsidRDefault="00000000" w:rsidP="007967F3">
            <w:pPr>
              <w:keepNext/>
              <w:keepLines/>
              <w:spacing w:after="0" w:line="240" w:lineRule="auto"/>
              <w:jc w:val="right"/>
            </w:pPr>
            <w:r>
              <w:rPr>
                <w:sz w:val="18"/>
              </w:rPr>
              <w:t>155,7</w:t>
            </w:r>
          </w:p>
        </w:tc>
      </w:tr>
    </w:tbl>
    <w:p w14:paraId="7BB0F066" w14:textId="77777777" w:rsidR="00AB2B99" w:rsidRDefault="00AB2B99" w:rsidP="007967F3">
      <w:pPr>
        <w:spacing w:after="0" w:line="240" w:lineRule="auto"/>
      </w:pPr>
    </w:p>
    <w:p w14:paraId="4E036C72" w14:textId="77777777" w:rsidR="00AB2B99" w:rsidRDefault="00000000" w:rsidP="007967F3">
      <w:pPr>
        <w:spacing w:after="0" w:line="240" w:lineRule="auto"/>
        <w:jc w:val="both"/>
      </w:pPr>
      <w:r>
        <w:t>Prihod ostvaren od Hrvatske vatrogasne zajednice po zahtjevu Javne vatrogasne postrojbe. </w:t>
      </w:r>
    </w:p>
    <w:p w14:paraId="746420C3" w14:textId="77777777" w:rsidR="00AB2B99" w:rsidRDefault="00AB2B99" w:rsidP="007967F3">
      <w:pPr>
        <w:spacing w:after="0" w:line="240" w:lineRule="auto"/>
      </w:pPr>
    </w:p>
    <w:p w14:paraId="4049C064" w14:textId="77777777" w:rsidR="00AB2B99" w:rsidRDefault="00000000" w:rsidP="007967F3">
      <w:pPr>
        <w:keepNext/>
        <w:spacing w:after="0"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B2B99" w14:paraId="317DA51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66975D" w14:textId="77777777" w:rsidR="00AB2B99" w:rsidRDefault="00000000" w:rsidP="007967F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C9BF39" w14:textId="77777777" w:rsidR="00AB2B99" w:rsidRDefault="00000000" w:rsidP="007967F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B9D1E3" w14:textId="77777777" w:rsidR="00AB2B99" w:rsidRDefault="00000000" w:rsidP="007967F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B5C5B0" w14:textId="77777777" w:rsidR="00AB2B99" w:rsidRDefault="00000000" w:rsidP="007967F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6DAAB4" w14:textId="77777777" w:rsidR="00AB2B99" w:rsidRDefault="00000000" w:rsidP="007967F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3ABD51" w14:textId="77777777" w:rsidR="00AB2B99" w:rsidRDefault="00000000" w:rsidP="007967F3">
            <w:pPr>
              <w:keepNext/>
              <w:keepLines/>
              <w:spacing w:after="0" w:line="240" w:lineRule="auto"/>
              <w:jc w:val="center"/>
            </w:pPr>
            <w:r>
              <w:rPr>
                <w:b/>
                <w:sz w:val="18"/>
              </w:rPr>
              <w:t>Indeks (%)</w:t>
            </w:r>
          </w:p>
        </w:tc>
      </w:tr>
      <w:tr w:rsidR="00AB2B99" w14:paraId="72DC47F9" w14:textId="77777777">
        <w:tblPrEx>
          <w:tblCellMar>
            <w:top w:w="0" w:type="dxa"/>
            <w:bottom w:w="0" w:type="dxa"/>
          </w:tblCellMar>
        </w:tblPrEx>
        <w:trPr>
          <w:cantSplit/>
          <w:trHeight w:val="560"/>
        </w:trPr>
        <w:tc>
          <w:tcPr>
            <w:tcW w:w="700" w:type="dxa"/>
            <w:tcMar>
              <w:top w:w="0" w:type="dxa"/>
              <w:bottom w:w="0" w:type="dxa"/>
            </w:tcMar>
            <w:vAlign w:val="center"/>
          </w:tcPr>
          <w:p w14:paraId="3C325272" w14:textId="77777777" w:rsidR="00AB2B99" w:rsidRDefault="00000000" w:rsidP="007967F3">
            <w:pPr>
              <w:keepNext/>
              <w:keepLines/>
              <w:spacing w:after="0" w:line="240" w:lineRule="auto"/>
            </w:pPr>
            <w:r>
              <w:rPr>
                <w:sz w:val="18"/>
              </w:rPr>
              <w:t>661</w:t>
            </w:r>
          </w:p>
        </w:tc>
        <w:tc>
          <w:tcPr>
            <w:tcW w:w="3180" w:type="dxa"/>
            <w:tcMar>
              <w:top w:w="0" w:type="dxa"/>
              <w:bottom w:w="0" w:type="dxa"/>
            </w:tcMar>
            <w:vAlign w:val="center"/>
          </w:tcPr>
          <w:p w14:paraId="7191AE03" w14:textId="77777777" w:rsidR="00AB2B99" w:rsidRDefault="00000000" w:rsidP="007967F3">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14:paraId="7CCD97AE" w14:textId="77777777" w:rsidR="00AB2B99" w:rsidRDefault="00000000" w:rsidP="007967F3">
            <w:pPr>
              <w:keepNext/>
              <w:keepLines/>
              <w:spacing w:after="0" w:line="240" w:lineRule="auto"/>
            </w:pPr>
            <w:r>
              <w:rPr>
                <w:sz w:val="18"/>
              </w:rPr>
              <w:t>661</w:t>
            </w:r>
          </w:p>
        </w:tc>
        <w:tc>
          <w:tcPr>
            <w:tcW w:w="1860" w:type="dxa"/>
            <w:tcMar>
              <w:top w:w="0" w:type="dxa"/>
              <w:bottom w:w="0" w:type="dxa"/>
            </w:tcMar>
            <w:vAlign w:val="center"/>
          </w:tcPr>
          <w:p w14:paraId="7640F24E" w14:textId="77777777" w:rsidR="00AB2B99" w:rsidRDefault="00000000" w:rsidP="007967F3">
            <w:pPr>
              <w:keepNext/>
              <w:keepLines/>
              <w:spacing w:after="0" w:line="240" w:lineRule="auto"/>
              <w:jc w:val="right"/>
            </w:pPr>
            <w:r>
              <w:rPr>
                <w:sz w:val="18"/>
              </w:rPr>
              <w:t>24.104,13</w:t>
            </w:r>
          </w:p>
        </w:tc>
        <w:tc>
          <w:tcPr>
            <w:tcW w:w="1860" w:type="dxa"/>
            <w:tcMar>
              <w:top w:w="0" w:type="dxa"/>
              <w:bottom w:w="0" w:type="dxa"/>
            </w:tcMar>
            <w:vAlign w:val="center"/>
          </w:tcPr>
          <w:p w14:paraId="349CA388" w14:textId="77777777" w:rsidR="00AB2B99" w:rsidRDefault="00000000" w:rsidP="007967F3">
            <w:pPr>
              <w:keepNext/>
              <w:keepLines/>
              <w:spacing w:after="0" w:line="240" w:lineRule="auto"/>
              <w:jc w:val="right"/>
            </w:pPr>
            <w:r>
              <w:rPr>
                <w:sz w:val="18"/>
              </w:rPr>
              <w:t>32.797,05</w:t>
            </w:r>
          </w:p>
        </w:tc>
        <w:tc>
          <w:tcPr>
            <w:tcW w:w="700" w:type="dxa"/>
            <w:tcMar>
              <w:top w:w="0" w:type="dxa"/>
              <w:bottom w:w="0" w:type="dxa"/>
            </w:tcMar>
            <w:vAlign w:val="center"/>
          </w:tcPr>
          <w:p w14:paraId="783A625B" w14:textId="77777777" w:rsidR="00AB2B99" w:rsidRDefault="00000000" w:rsidP="007967F3">
            <w:pPr>
              <w:keepNext/>
              <w:keepLines/>
              <w:spacing w:after="0" w:line="240" w:lineRule="auto"/>
              <w:jc w:val="right"/>
            </w:pPr>
            <w:r>
              <w:rPr>
                <w:sz w:val="18"/>
              </w:rPr>
              <w:t>136,1</w:t>
            </w:r>
          </w:p>
        </w:tc>
      </w:tr>
    </w:tbl>
    <w:p w14:paraId="07C212AC" w14:textId="77777777" w:rsidR="00AB2B99" w:rsidRDefault="00AB2B99" w:rsidP="007967F3">
      <w:pPr>
        <w:spacing w:after="0" w:line="240" w:lineRule="auto"/>
      </w:pPr>
    </w:p>
    <w:p w14:paraId="3B5303A9" w14:textId="77777777" w:rsidR="00AB2B99" w:rsidRDefault="00000000" w:rsidP="007967F3">
      <w:pPr>
        <w:spacing w:after="0" w:line="240" w:lineRule="auto"/>
        <w:jc w:val="both"/>
      </w:pPr>
      <w:r>
        <w:t>Prihod ostvaren za usluge koje Javna vatrogasna postrojba vrši na tržištu. Radi se o usluzi vatrodojave, prijevoza vode i ispumpavanju odvoda. </w:t>
      </w:r>
    </w:p>
    <w:p w14:paraId="7AC0468E" w14:textId="77777777" w:rsidR="00AB2B99" w:rsidRDefault="00AB2B99" w:rsidP="007967F3">
      <w:pPr>
        <w:spacing w:after="0" w:line="240" w:lineRule="auto"/>
      </w:pPr>
    </w:p>
    <w:p w14:paraId="3D5F9F76" w14:textId="77777777" w:rsidR="00AB2B99" w:rsidRDefault="00000000" w:rsidP="007967F3">
      <w:pPr>
        <w:keepNext/>
        <w:spacing w:after="0"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B2B99" w14:paraId="45B8E2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753EAC" w14:textId="77777777" w:rsidR="00AB2B99" w:rsidRDefault="00000000" w:rsidP="007967F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F206ED" w14:textId="77777777" w:rsidR="00AB2B99" w:rsidRDefault="00000000" w:rsidP="007967F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00A603" w14:textId="77777777" w:rsidR="00AB2B99" w:rsidRDefault="00000000" w:rsidP="007967F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ED9ADB" w14:textId="77777777" w:rsidR="00AB2B99" w:rsidRDefault="00000000" w:rsidP="007967F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5A8E44" w14:textId="77777777" w:rsidR="00AB2B99" w:rsidRDefault="00000000" w:rsidP="007967F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107DD9" w14:textId="77777777" w:rsidR="00AB2B99" w:rsidRDefault="00000000" w:rsidP="007967F3">
            <w:pPr>
              <w:keepNext/>
              <w:keepLines/>
              <w:spacing w:after="0" w:line="240" w:lineRule="auto"/>
              <w:jc w:val="center"/>
            </w:pPr>
            <w:r>
              <w:rPr>
                <w:b/>
                <w:sz w:val="18"/>
              </w:rPr>
              <w:t>Indeks (%)</w:t>
            </w:r>
          </w:p>
        </w:tc>
      </w:tr>
      <w:tr w:rsidR="00AB2B99" w14:paraId="2F4A2731" w14:textId="77777777">
        <w:tblPrEx>
          <w:tblCellMar>
            <w:top w:w="0" w:type="dxa"/>
            <w:bottom w:w="0" w:type="dxa"/>
          </w:tblCellMar>
        </w:tblPrEx>
        <w:trPr>
          <w:cantSplit/>
          <w:trHeight w:val="560"/>
        </w:trPr>
        <w:tc>
          <w:tcPr>
            <w:tcW w:w="700" w:type="dxa"/>
            <w:tcMar>
              <w:top w:w="0" w:type="dxa"/>
              <w:bottom w:w="0" w:type="dxa"/>
            </w:tcMar>
            <w:vAlign w:val="center"/>
          </w:tcPr>
          <w:p w14:paraId="60C4B5A2" w14:textId="77777777" w:rsidR="00AB2B99" w:rsidRDefault="00000000" w:rsidP="007967F3">
            <w:pPr>
              <w:keepNext/>
              <w:keepLines/>
              <w:spacing w:after="0" w:line="240" w:lineRule="auto"/>
            </w:pPr>
            <w:r>
              <w:rPr>
                <w:sz w:val="18"/>
              </w:rPr>
              <w:t>6711</w:t>
            </w:r>
          </w:p>
        </w:tc>
        <w:tc>
          <w:tcPr>
            <w:tcW w:w="3180" w:type="dxa"/>
            <w:tcMar>
              <w:top w:w="0" w:type="dxa"/>
              <w:bottom w:w="0" w:type="dxa"/>
            </w:tcMar>
            <w:vAlign w:val="center"/>
          </w:tcPr>
          <w:p w14:paraId="7578E86E" w14:textId="77777777" w:rsidR="00AB2B99" w:rsidRDefault="00000000" w:rsidP="007967F3">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3A79C955" w14:textId="77777777" w:rsidR="00AB2B99" w:rsidRDefault="00000000" w:rsidP="007967F3">
            <w:pPr>
              <w:keepNext/>
              <w:keepLines/>
              <w:spacing w:after="0" w:line="240" w:lineRule="auto"/>
            </w:pPr>
            <w:r>
              <w:rPr>
                <w:sz w:val="18"/>
              </w:rPr>
              <w:t>6711</w:t>
            </w:r>
          </w:p>
        </w:tc>
        <w:tc>
          <w:tcPr>
            <w:tcW w:w="1860" w:type="dxa"/>
            <w:tcMar>
              <w:top w:w="0" w:type="dxa"/>
              <w:bottom w:w="0" w:type="dxa"/>
            </w:tcMar>
            <w:vAlign w:val="center"/>
          </w:tcPr>
          <w:p w14:paraId="6D2DA801" w14:textId="77777777" w:rsidR="00AB2B99" w:rsidRDefault="00000000" w:rsidP="007967F3">
            <w:pPr>
              <w:keepNext/>
              <w:keepLines/>
              <w:spacing w:after="0" w:line="240" w:lineRule="auto"/>
              <w:jc w:val="right"/>
            </w:pPr>
            <w:r>
              <w:rPr>
                <w:sz w:val="18"/>
              </w:rPr>
              <w:t>726.258,55</w:t>
            </w:r>
          </w:p>
        </w:tc>
        <w:tc>
          <w:tcPr>
            <w:tcW w:w="1860" w:type="dxa"/>
            <w:tcMar>
              <w:top w:w="0" w:type="dxa"/>
              <w:bottom w:w="0" w:type="dxa"/>
            </w:tcMar>
            <w:vAlign w:val="center"/>
          </w:tcPr>
          <w:p w14:paraId="0B931E4F" w14:textId="77777777" w:rsidR="00AB2B99" w:rsidRDefault="00000000" w:rsidP="007967F3">
            <w:pPr>
              <w:keepNext/>
              <w:keepLines/>
              <w:spacing w:after="0" w:line="240" w:lineRule="auto"/>
              <w:jc w:val="right"/>
            </w:pPr>
            <w:r>
              <w:rPr>
                <w:sz w:val="18"/>
              </w:rPr>
              <w:t>905.637,10</w:t>
            </w:r>
          </w:p>
        </w:tc>
        <w:tc>
          <w:tcPr>
            <w:tcW w:w="700" w:type="dxa"/>
            <w:tcMar>
              <w:top w:w="0" w:type="dxa"/>
              <w:bottom w:w="0" w:type="dxa"/>
            </w:tcMar>
            <w:vAlign w:val="center"/>
          </w:tcPr>
          <w:p w14:paraId="25FE7E90" w14:textId="77777777" w:rsidR="00AB2B99" w:rsidRDefault="00000000" w:rsidP="007967F3">
            <w:pPr>
              <w:keepNext/>
              <w:keepLines/>
              <w:spacing w:after="0" w:line="240" w:lineRule="auto"/>
              <w:jc w:val="right"/>
            </w:pPr>
            <w:r>
              <w:rPr>
                <w:sz w:val="18"/>
              </w:rPr>
              <w:t>124,7</w:t>
            </w:r>
          </w:p>
        </w:tc>
      </w:tr>
    </w:tbl>
    <w:p w14:paraId="4ACE4436" w14:textId="77777777" w:rsidR="00AB2B99" w:rsidRDefault="00AB2B99" w:rsidP="007967F3">
      <w:pPr>
        <w:spacing w:after="0" w:line="240" w:lineRule="auto"/>
      </w:pPr>
    </w:p>
    <w:p w14:paraId="661BBB68" w14:textId="77777777" w:rsidR="00AB2B99" w:rsidRDefault="00000000" w:rsidP="007967F3">
      <w:pPr>
        <w:spacing w:after="0" w:line="240" w:lineRule="auto"/>
        <w:jc w:val="both"/>
      </w:pPr>
      <w:r>
        <w:t>Javna vatrogasna postrojba u sustavu je lokalne riznice. Na kontu 6711 evidentiran je iznos koji se odnosi na rashoda iz izvora 1.0. odnosno iz gradskog proračuna. Na povećanje iznose ovoga konta utječe povećanje osnovice plaće za državne službenike temeljem Temeljnog kolektivnog ugovora za državne službenike i namještenike. </w:t>
      </w:r>
    </w:p>
    <w:p w14:paraId="50F18548" w14:textId="77777777" w:rsidR="00AB2B99" w:rsidRDefault="00AB2B99" w:rsidP="007967F3">
      <w:pPr>
        <w:spacing w:after="0" w:line="240" w:lineRule="auto"/>
      </w:pPr>
    </w:p>
    <w:p w14:paraId="5C9308B3" w14:textId="77777777" w:rsidR="00AB2B99" w:rsidRDefault="00000000" w:rsidP="007967F3">
      <w:pPr>
        <w:keepNext/>
        <w:spacing w:after="0"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B2B99" w14:paraId="3F339E1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C1AA4D" w14:textId="77777777" w:rsidR="00AB2B99" w:rsidRDefault="00000000" w:rsidP="007967F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AEF556" w14:textId="77777777" w:rsidR="00AB2B99" w:rsidRDefault="00000000" w:rsidP="007967F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06A1E9" w14:textId="77777777" w:rsidR="00AB2B99" w:rsidRDefault="00000000" w:rsidP="007967F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7E2DEE" w14:textId="77777777" w:rsidR="00AB2B99" w:rsidRDefault="00000000" w:rsidP="007967F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B4C57A" w14:textId="77777777" w:rsidR="00AB2B99" w:rsidRDefault="00000000" w:rsidP="007967F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088DC6" w14:textId="77777777" w:rsidR="00AB2B99" w:rsidRDefault="00000000" w:rsidP="007967F3">
            <w:pPr>
              <w:keepNext/>
              <w:keepLines/>
              <w:spacing w:after="0" w:line="240" w:lineRule="auto"/>
              <w:jc w:val="center"/>
            </w:pPr>
            <w:r>
              <w:rPr>
                <w:b/>
                <w:sz w:val="18"/>
              </w:rPr>
              <w:t>Indeks (%)</w:t>
            </w:r>
          </w:p>
        </w:tc>
      </w:tr>
      <w:tr w:rsidR="00AB2B99" w14:paraId="19E0DBD6" w14:textId="77777777">
        <w:tblPrEx>
          <w:tblCellMar>
            <w:top w:w="0" w:type="dxa"/>
            <w:bottom w:w="0" w:type="dxa"/>
          </w:tblCellMar>
        </w:tblPrEx>
        <w:trPr>
          <w:cantSplit/>
          <w:trHeight w:val="560"/>
        </w:trPr>
        <w:tc>
          <w:tcPr>
            <w:tcW w:w="700" w:type="dxa"/>
            <w:tcMar>
              <w:top w:w="0" w:type="dxa"/>
              <w:bottom w:w="0" w:type="dxa"/>
            </w:tcMar>
            <w:vAlign w:val="center"/>
          </w:tcPr>
          <w:p w14:paraId="3A4515A0" w14:textId="77777777" w:rsidR="00AB2B99" w:rsidRDefault="00000000" w:rsidP="007967F3">
            <w:pPr>
              <w:keepNext/>
              <w:keepLines/>
              <w:spacing w:after="0" w:line="240" w:lineRule="auto"/>
            </w:pPr>
            <w:r>
              <w:rPr>
                <w:sz w:val="18"/>
              </w:rPr>
              <w:t>31</w:t>
            </w:r>
          </w:p>
        </w:tc>
        <w:tc>
          <w:tcPr>
            <w:tcW w:w="3180" w:type="dxa"/>
            <w:tcMar>
              <w:top w:w="0" w:type="dxa"/>
              <w:bottom w:w="0" w:type="dxa"/>
            </w:tcMar>
            <w:vAlign w:val="center"/>
          </w:tcPr>
          <w:p w14:paraId="075B6E39" w14:textId="77777777" w:rsidR="00AB2B99" w:rsidRDefault="00000000" w:rsidP="007967F3">
            <w:pPr>
              <w:keepNext/>
              <w:keepLines/>
              <w:spacing w:after="0" w:line="240" w:lineRule="auto"/>
            </w:pPr>
            <w:r>
              <w:rPr>
                <w:sz w:val="18"/>
              </w:rPr>
              <w:t>Rashodi za zaposlene (šifre 311+312+313)</w:t>
            </w:r>
          </w:p>
        </w:tc>
        <w:tc>
          <w:tcPr>
            <w:tcW w:w="700" w:type="dxa"/>
            <w:tcMar>
              <w:top w:w="0" w:type="dxa"/>
              <w:bottom w:w="0" w:type="dxa"/>
            </w:tcMar>
            <w:vAlign w:val="center"/>
          </w:tcPr>
          <w:p w14:paraId="59A0450A" w14:textId="77777777" w:rsidR="00AB2B99" w:rsidRDefault="00000000" w:rsidP="007967F3">
            <w:pPr>
              <w:keepNext/>
              <w:keepLines/>
              <w:spacing w:after="0" w:line="240" w:lineRule="auto"/>
            </w:pPr>
            <w:r>
              <w:rPr>
                <w:sz w:val="18"/>
              </w:rPr>
              <w:t>31</w:t>
            </w:r>
          </w:p>
        </w:tc>
        <w:tc>
          <w:tcPr>
            <w:tcW w:w="1860" w:type="dxa"/>
            <w:tcMar>
              <w:top w:w="0" w:type="dxa"/>
              <w:bottom w:w="0" w:type="dxa"/>
            </w:tcMar>
            <w:vAlign w:val="center"/>
          </w:tcPr>
          <w:p w14:paraId="748583A5" w14:textId="77777777" w:rsidR="00AB2B99" w:rsidRDefault="00000000" w:rsidP="007967F3">
            <w:pPr>
              <w:keepNext/>
              <w:keepLines/>
              <w:spacing w:after="0" w:line="240" w:lineRule="auto"/>
              <w:jc w:val="right"/>
            </w:pPr>
            <w:r>
              <w:rPr>
                <w:sz w:val="18"/>
              </w:rPr>
              <w:t>679.021,11</w:t>
            </w:r>
          </w:p>
        </w:tc>
        <w:tc>
          <w:tcPr>
            <w:tcW w:w="1860" w:type="dxa"/>
            <w:tcMar>
              <w:top w:w="0" w:type="dxa"/>
              <w:bottom w:w="0" w:type="dxa"/>
            </w:tcMar>
            <w:vAlign w:val="center"/>
          </w:tcPr>
          <w:p w14:paraId="41184A2D" w14:textId="77777777" w:rsidR="00AB2B99" w:rsidRDefault="00000000" w:rsidP="007967F3">
            <w:pPr>
              <w:keepNext/>
              <w:keepLines/>
              <w:spacing w:after="0" w:line="240" w:lineRule="auto"/>
              <w:jc w:val="right"/>
            </w:pPr>
            <w:r>
              <w:rPr>
                <w:sz w:val="18"/>
              </w:rPr>
              <w:t>942.957,76</w:t>
            </w:r>
          </w:p>
        </w:tc>
        <w:tc>
          <w:tcPr>
            <w:tcW w:w="700" w:type="dxa"/>
            <w:tcMar>
              <w:top w:w="0" w:type="dxa"/>
              <w:bottom w:w="0" w:type="dxa"/>
            </w:tcMar>
            <w:vAlign w:val="center"/>
          </w:tcPr>
          <w:p w14:paraId="5BE2764A" w14:textId="77777777" w:rsidR="00AB2B99" w:rsidRDefault="00000000" w:rsidP="007967F3">
            <w:pPr>
              <w:keepNext/>
              <w:keepLines/>
              <w:spacing w:after="0" w:line="240" w:lineRule="auto"/>
              <w:jc w:val="right"/>
            </w:pPr>
            <w:r>
              <w:rPr>
                <w:sz w:val="18"/>
              </w:rPr>
              <w:t>138,9</w:t>
            </w:r>
          </w:p>
        </w:tc>
      </w:tr>
    </w:tbl>
    <w:p w14:paraId="625E6A3F" w14:textId="77777777" w:rsidR="00AB2B99" w:rsidRDefault="00AB2B99" w:rsidP="007967F3">
      <w:pPr>
        <w:spacing w:after="0" w:line="240" w:lineRule="auto"/>
      </w:pPr>
    </w:p>
    <w:p w14:paraId="5B1ED3FE" w14:textId="77777777" w:rsidR="00AB2B99" w:rsidRDefault="00000000" w:rsidP="007967F3">
      <w:pPr>
        <w:spacing w:after="0" w:line="240" w:lineRule="auto"/>
        <w:jc w:val="both"/>
      </w:pPr>
      <w:r>
        <w:t>Rashod je veći u odnosu na prethodno razdoblje zbog povećanja osnovice plaće za državne službenike i namještenike temeljem Temeljnog kolektivnog ugovora za državne službenike i namještenike. Osim toga, evidentirana je 13. plaća odnosno plaća za prosinac. </w:t>
      </w:r>
    </w:p>
    <w:p w14:paraId="48B7A0B3" w14:textId="77777777" w:rsidR="00AB2B99" w:rsidRDefault="00AB2B99" w:rsidP="007967F3">
      <w:pPr>
        <w:spacing w:after="0" w:line="240" w:lineRule="auto"/>
      </w:pPr>
    </w:p>
    <w:p w14:paraId="479CBC4F" w14:textId="77777777" w:rsidR="00AB2B99" w:rsidRDefault="00000000" w:rsidP="007967F3">
      <w:pPr>
        <w:keepNext/>
        <w:spacing w:after="0" w:line="240" w:lineRule="auto"/>
        <w:jc w:val="center"/>
      </w:pPr>
      <w:r>
        <w:rPr>
          <w:b/>
          <w:sz w:val="28"/>
        </w:rPr>
        <w:t>Bilanca</w:t>
      </w:r>
    </w:p>
    <w:p w14:paraId="62F0EEE6" w14:textId="77777777" w:rsidR="00AB2B99" w:rsidRDefault="00000000" w:rsidP="007967F3">
      <w:pPr>
        <w:keepNext/>
        <w:spacing w:after="0"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B2B99" w14:paraId="577E8AB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09E357" w14:textId="77777777" w:rsidR="00AB2B99" w:rsidRDefault="00000000" w:rsidP="007967F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636F20" w14:textId="77777777" w:rsidR="00AB2B99" w:rsidRDefault="00000000" w:rsidP="007967F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AAF564" w14:textId="77777777" w:rsidR="00AB2B99" w:rsidRDefault="00000000" w:rsidP="007967F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94E434" w14:textId="77777777" w:rsidR="00AB2B99" w:rsidRDefault="00000000" w:rsidP="007967F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70387CB" w14:textId="77777777" w:rsidR="00AB2B99" w:rsidRDefault="00000000" w:rsidP="007967F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D7D359C" w14:textId="77777777" w:rsidR="00AB2B99" w:rsidRDefault="00000000" w:rsidP="007967F3">
            <w:pPr>
              <w:keepNext/>
              <w:keepLines/>
              <w:spacing w:after="0" w:line="240" w:lineRule="auto"/>
              <w:jc w:val="center"/>
            </w:pPr>
            <w:r>
              <w:rPr>
                <w:b/>
                <w:sz w:val="18"/>
              </w:rPr>
              <w:t>Indeks (%)</w:t>
            </w:r>
          </w:p>
        </w:tc>
      </w:tr>
      <w:tr w:rsidR="00AB2B99" w14:paraId="515BDB8B" w14:textId="77777777">
        <w:tblPrEx>
          <w:tblCellMar>
            <w:top w:w="0" w:type="dxa"/>
            <w:bottom w:w="0" w:type="dxa"/>
          </w:tblCellMar>
        </w:tblPrEx>
        <w:trPr>
          <w:cantSplit/>
          <w:trHeight w:val="560"/>
        </w:trPr>
        <w:tc>
          <w:tcPr>
            <w:tcW w:w="700" w:type="dxa"/>
            <w:tcMar>
              <w:top w:w="0" w:type="dxa"/>
              <w:bottom w:w="0" w:type="dxa"/>
            </w:tcMar>
            <w:vAlign w:val="center"/>
          </w:tcPr>
          <w:p w14:paraId="2C9CA803" w14:textId="77777777" w:rsidR="00AB2B99" w:rsidRDefault="00000000" w:rsidP="007967F3">
            <w:pPr>
              <w:keepNext/>
              <w:keepLines/>
              <w:spacing w:after="0" w:line="240" w:lineRule="auto"/>
            </w:pPr>
            <w:r>
              <w:rPr>
                <w:sz w:val="18"/>
              </w:rPr>
              <w:t>0227</w:t>
            </w:r>
          </w:p>
        </w:tc>
        <w:tc>
          <w:tcPr>
            <w:tcW w:w="3180" w:type="dxa"/>
            <w:tcMar>
              <w:top w:w="0" w:type="dxa"/>
              <w:bottom w:w="0" w:type="dxa"/>
            </w:tcMar>
            <w:vAlign w:val="center"/>
          </w:tcPr>
          <w:p w14:paraId="10E6358A" w14:textId="77777777" w:rsidR="00AB2B99" w:rsidRDefault="00000000" w:rsidP="007967F3">
            <w:pPr>
              <w:keepNext/>
              <w:keepLines/>
              <w:spacing w:after="0" w:line="240" w:lineRule="auto"/>
            </w:pPr>
            <w:r>
              <w:rPr>
                <w:sz w:val="18"/>
              </w:rPr>
              <w:t>Uređaji, strojevi i oprema za ostale namjene</w:t>
            </w:r>
          </w:p>
        </w:tc>
        <w:tc>
          <w:tcPr>
            <w:tcW w:w="700" w:type="dxa"/>
            <w:tcMar>
              <w:top w:w="0" w:type="dxa"/>
              <w:bottom w:w="0" w:type="dxa"/>
            </w:tcMar>
            <w:vAlign w:val="center"/>
          </w:tcPr>
          <w:p w14:paraId="6AA09651" w14:textId="77777777" w:rsidR="00AB2B99" w:rsidRDefault="00000000" w:rsidP="007967F3">
            <w:pPr>
              <w:keepNext/>
              <w:keepLines/>
              <w:spacing w:after="0" w:line="240" w:lineRule="auto"/>
            </w:pPr>
            <w:r>
              <w:rPr>
                <w:sz w:val="18"/>
              </w:rPr>
              <w:t>0227</w:t>
            </w:r>
          </w:p>
        </w:tc>
        <w:tc>
          <w:tcPr>
            <w:tcW w:w="1860" w:type="dxa"/>
            <w:tcMar>
              <w:top w:w="0" w:type="dxa"/>
              <w:bottom w:w="0" w:type="dxa"/>
            </w:tcMar>
            <w:vAlign w:val="center"/>
          </w:tcPr>
          <w:p w14:paraId="2DB3A18E" w14:textId="77777777" w:rsidR="00AB2B99" w:rsidRDefault="00000000" w:rsidP="007967F3">
            <w:pPr>
              <w:keepNext/>
              <w:keepLines/>
              <w:spacing w:after="0" w:line="240" w:lineRule="auto"/>
              <w:jc w:val="right"/>
            </w:pPr>
            <w:r>
              <w:rPr>
                <w:sz w:val="18"/>
              </w:rPr>
              <w:t>22.504,77</w:t>
            </w:r>
          </w:p>
        </w:tc>
        <w:tc>
          <w:tcPr>
            <w:tcW w:w="1860" w:type="dxa"/>
            <w:tcMar>
              <w:top w:w="0" w:type="dxa"/>
              <w:bottom w:w="0" w:type="dxa"/>
            </w:tcMar>
            <w:vAlign w:val="center"/>
          </w:tcPr>
          <w:p w14:paraId="5F498F4A" w14:textId="77777777" w:rsidR="00AB2B99" w:rsidRDefault="00000000" w:rsidP="007967F3">
            <w:pPr>
              <w:keepNext/>
              <w:keepLines/>
              <w:spacing w:after="0" w:line="240" w:lineRule="auto"/>
              <w:jc w:val="right"/>
            </w:pPr>
            <w:r>
              <w:rPr>
                <w:sz w:val="18"/>
              </w:rPr>
              <w:t>23.442,27</w:t>
            </w:r>
          </w:p>
        </w:tc>
        <w:tc>
          <w:tcPr>
            <w:tcW w:w="700" w:type="dxa"/>
            <w:tcMar>
              <w:top w:w="0" w:type="dxa"/>
              <w:bottom w:w="0" w:type="dxa"/>
            </w:tcMar>
            <w:vAlign w:val="center"/>
          </w:tcPr>
          <w:p w14:paraId="240AE765" w14:textId="77777777" w:rsidR="00AB2B99" w:rsidRDefault="00000000" w:rsidP="007967F3">
            <w:pPr>
              <w:keepNext/>
              <w:keepLines/>
              <w:spacing w:after="0" w:line="240" w:lineRule="auto"/>
              <w:jc w:val="right"/>
            </w:pPr>
            <w:r>
              <w:rPr>
                <w:sz w:val="18"/>
              </w:rPr>
              <w:t>104,2</w:t>
            </w:r>
          </w:p>
        </w:tc>
      </w:tr>
    </w:tbl>
    <w:p w14:paraId="4C0232C5" w14:textId="77777777" w:rsidR="00AB2B99" w:rsidRDefault="00AB2B99" w:rsidP="007967F3">
      <w:pPr>
        <w:spacing w:after="0" w:line="240" w:lineRule="auto"/>
      </w:pPr>
    </w:p>
    <w:p w14:paraId="0B629027" w14:textId="77777777" w:rsidR="00AB2B99" w:rsidRDefault="00000000" w:rsidP="007967F3">
      <w:pPr>
        <w:spacing w:after="0" w:line="240" w:lineRule="auto"/>
        <w:jc w:val="both"/>
      </w:pPr>
      <w:r>
        <w:lastRenderedPageBreak/>
        <w:t>Nabavljena je nova oprema u iznosu 937,50 eura za potrebe rada Javne vatrogasna postrojbe (nova sjedala za vozilo). </w:t>
      </w:r>
    </w:p>
    <w:p w14:paraId="5F40E0D0" w14:textId="77777777" w:rsidR="00AB2B99" w:rsidRDefault="00AB2B99" w:rsidP="007967F3">
      <w:pPr>
        <w:spacing w:after="0" w:line="240" w:lineRule="auto"/>
      </w:pPr>
    </w:p>
    <w:p w14:paraId="56FD71B0" w14:textId="77777777" w:rsidR="00AB2B99" w:rsidRDefault="00000000" w:rsidP="007967F3">
      <w:pPr>
        <w:keepNext/>
        <w:spacing w:after="0"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B2B99" w14:paraId="778F0F5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FF5CE1" w14:textId="77777777" w:rsidR="00AB2B99" w:rsidRDefault="00000000" w:rsidP="007967F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9B0BD1" w14:textId="77777777" w:rsidR="00AB2B99" w:rsidRDefault="00000000" w:rsidP="007967F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210FDF" w14:textId="77777777" w:rsidR="00AB2B99" w:rsidRDefault="00000000" w:rsidP="007967F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6A814D" w14:textId="77777777" w:rsidR="00AB2B99" w:rsidRDefault="00000000" w:rsidP="007967F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0EF5604" w14:textId="77777777" w:rsidR="00AB2B99" w:rsidRDefault="00000000" w:rsidP="007967F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8C3B8A3" w14:textId="77777777" w:rsidR="00AB2B99" w:rsidRDefault="00000000" w:rsidP="007967F3">
            <w:pPr>
              <w:keepNext/>
              <w:keepLines/>
              <w:spacing w:after="0" w:line="240" w:lineRule="auto"/>
              <w:jc w:val="center"/>
            </w:pPr>
            <w:r>
              <w:rPr>
                <w:b/>
                <w:sz w:val="18"/>
              </w:rPr>
              <w:t>Indeks (%)</w:t>
            </w:r>
          </w:p>
        </w:tc>
      </w:tr>
      <w:tr w:rsidR="00AB2B99" w14:paraId="056731C8" w14:textId="77777777">
        <w:tblPrEx>
          <w:tblCellMar>
            <w:top w:w="0" w:type="dxa"/>
            <w:bottom w:w="0" w:type="dxa"/>
          </w:tblCellMar>
        </w:tblPrEx>
        <w:trPr>
          <w:cantSplit/>
          <w:trHeight w:val="560"/>
        </w:trPr>
        <w:tc>
          <w:tcPr>
            <w:tcW w:w="700" w:type="dxa"/>
            <w:tcMar>
              <w:top w:w="0" w:type="dxa"/>
              <w:bottom w:w="0" w:type="dxa"/>
            </w:tcMar>
            <w:vAlign w:val="center"/>
          </w:tcPr>
          <w:p w14:paraId="464B88EB" w14:textId="77777777" w:rsidR="00AB2B99" w:rsidRDefault="00000000" w:rsidP="007967F3">
            <w:pPr>
              <w:keepNext/>
              <w:keepLines/>
              <w:spacing w:after="0" w:line="240" w:lineRule="auto"/>
            </w:pPr>
            <w:r>
              <w:rPr>
                <w:sz w:val="18"/>
              </w:rPr>
              <w:t>0231</w:t>
            </w:r>
          </w:p>
        </w:tc>
        <w:tc>
          <w:tcPr>
            <w:tcW w:w="3180" w:type="dxa"/>
            <w:tcMar>
              <w:top w:w="0" w:type="dxa"/>
              <w:bottom w:w="0" w:type="dxa"/>
            </w:tcMar>
            <w:vAlign w:val="center"/>
          </w:tcPr>
          <w:p w14:paraId="5AD067D3" w14:textId="77777777" w:rsidR="00AB2B99" w:rsidRDefault="00000000" w:rsidP="007967F3">
            <w:pPr>
              <w:keepNext/>
              <w:keepLines/>
              <w:spacing w:after="0" w:line="240" w:lineRule="auto"/>
            </w:pPr>
            <w:r>
              <w:rPr>
                <w:sz w:val="18"/>
              </w:rPr>
              <w:t>Prijevozna sredstva u cestovnom prometu</w:t>
            </w:r>
          </w:p>
        </w:tc>
        <w:tc>
          <w:tcPr>
            <w:tcW w:w="700" w:type="dxa"/>
            <w:tcMar>
              <w:top w:w="0" w:type="dxa"/>
              <w:bottom w:w="0" w:type="dxa"/>
            </w:tcMar>
            <w:vAlign w:val="center"/>
          </w:tcPr>
          <w:p w14:paraId="082BFC4C" w14:textId="77777777" w:rsidR="00AB2B99" w:rsidRDefault="00000000" w:rsidP="007967F3">
            <w:pPr>
              <w:keepNext/>
              <w:keepLines/>
              <w:spacing w:after="0" w:line="240" w:lineRule="auto"/>
            </w:pPr>
            <w:r>
              <w:rPr>
                <w:sz w:val="18"/>
              </w:rPr>
              <w:t>0231</w:t>
            </w:r>
          </w:p>
        </w:tc>
        <w:tc>
          <w:tcPr>
            <w:tcW w:w="1860" w:type="dxa"/>
            <w:tcMar>
              <w:top w:w="0" w:type="dxa"/>
              <w:bottom w:w="0" w:type="dxa"/>
            </w:tcMar>
            <w:vAlign w:val="center"/>
          </w:tcPr>
          <w:p w14:paraId="1A7A9FA4" w14:textId="77777777" w:rsidR="00AB2B99" w:rsidRDefault="00000000" w:rsidP="007967F3">
            <w:pPr>
              <w:keepNext/>
              <w:keepLines/>
              <w:spacing w:after="0" w:line="240" w:lineRule="auto"/>
              <w:jc w:val="right"/>
            </w:pPr>
            <w:r>
              <w:rPr>
                <w:sz w:val="18"/>
              </w:rPr>
              <w:t>63.998,79</w:t>
            </w:r>
          </w:p>
        </w:tc>
        <w:tc>
          <w:tcPr>
            <w:tcW w:w="1860" w:type="dxa"/>
            <w:tcMar>
              <w:top w:w="0" w:type="dxa"/>
              <w:bottom w:w="0" w:type="dxa"/>
            </w:tcMar>
            <w:vAlign w:val="center"/>
          </w:tcPr>
          <w:p w14:paraId="6D4B1A9C" w14:textId="77777777" w:rsidR="00AB2B99" w:rsidRDefault="00000000" w:rsidP="007967F3">
            <w:pPr>
              <w:keepNext/>
              <w:keepLines/>
              <w:spacing w:after="0" w:line="240" w:lineRule="auto"/>
              <w:jc w:val="right"/>
            </w:pPr>
            <w:r>
              <w:rPr>
                <w:sz w:val="18"/>
              </w:rPr>
              <w:t>286.044,84</w:t>
            </w:r>
          </w:p>
        </w:tc>
        <w:tc>
          <w:tcPr>
            <w:tcW w:w="700" w:type="dxa"/>
            <w:tcMar>
              <w:top w:w="0" w:type="dxa"/>
              <w:bottom w:w="0" w:type="dxa"/>
            </w:tcMar>
            <w:vAlign w:val="center"/>
          </w:tcPr>
          <w:p w14:paraId="7548D02D" w14:textId="77777777" w:rsidR="00AB2B99" w:rsidRDefault="00000000" w:rsidP="007967F3">
            <w:pPr>
              <w:keepNext/>
              <w:keepLines/>
              <w:spacing w:after="0" w:line="240" w:lineRule="auto"/>
              <w:jc w:val="right"/>
            </w:pPr>
            <w:r>
              <w:rPr>
                <w:sz w:val="18"/>
              </w:rPr>
              <w:t>447,0</w:t>
            </w:r>
          </w:p>
        </w:tc>
      </w:tr>
    </w:tbl>
    <w:p w14:paraId="62ED7AA1" w14:textId="77777777" w:rsidR="00AB2B99" w:rsidRDefault="00AB2B99" w:rsidP="007967F3">
      <w:pPr>
        <w:spacing w:after="0" w:line="240" w:lineRule="auto"/>
      </w:pPr>
    </w:p>
    <w:p w14:paraId="4B865C70" w14:textId="77777777" w:rsidR="00AB2B99" w:rsidRDefault="00000000" w:rsidP="007967F3">
      <w:pPr>
        <w:spacing w:after="0" w:line="240" w:lineRule="auto"/>
        <w:jc w:val="both"/>
      </w:pPr>
      <w:r>
        <w:t>Tijekom 2025. evidentirane su dvije promjene na ovome kontu u vrijednosti 222.046,05 eura.</w:t>
      </w:r>
    </w:p>
    <w:p w14:paraId="7C950861" w14:textId="77777777" w:rsidR="00AB2B99" w:rsidRDefault="00000000" w:rsidP="007967F3">
      <w:pPr>
        <w:spacing w:after="0" w:line="240" w:lineRule="auto"/>
        <w:jc w:val="both"/>
      </w:pPr>
      <w:r>
        <w:t xml:space="preserve">70.000,00 eura odnosi se na vozilo darovano od strane Ministarstva unutarnjih poslova, a 152.046,05 eura odnosi na vozilo koje je greškom isknjiženo 2023. godine smatrajući da se dva puta evidentiralo (i u glavnoj knjizi i na </w:t>
      </w:r>
      <w:proofErr w:type="spellStart"/>
      <w:r>
        <w:t>izvanbilnčnoj</w:t>
      </w:r>
      <w:proofErr w:type="spellEnd"/>
      <w:r>
        <w:t xml:space="preserve"> evidenciji). Popisom imovine i obveza utvrđen je ovaj propust te je vozilo ponovno uknjiženje. Kako je vozilo iz 2006. godine, ono je u potpunosti amortizirano pa je tako i </w:t>
      </w:r>
      <w:proofErr w:type="spellStart"/>
      <w:r>
        <w:t>evidnetirano</w:t>
      </w:r>
      <w:proofErr w:type="spellEnd"/>
      <w:r>
        <w:t>. </w:t>
      </w:r>
    </w:p>
    <w:p w14:paraId="7C6F6D51" w14:textId="77777777" w:rsidR="00AB2B99" w:rsidRDefault="00AB2B99" w:rsidP="007967F3">
      <w:pPr>
        <w:spacing w:after="0" w:line="240" w:lineRule="auto"/>
      </w:pPr>
    </w:p>
    <w:p w14:paraId="59C1B4D6" w14:textId="77777777" w:rsidR="00AB2B99" w:rsidRDefault="00000000" w:rsidP="007967F3">
      <w:pPr>
        <w:keepNext/>
        <w:spacing w:after="0"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B2B99" w14:paraId="26CED4B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434BAF" w14:textId="77777777" w:rsidR="00AB2B99" w:rsidRDefault="00000000" w:rsidP="007967F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BB5F86" w14:textId="77777777" w:rsidR="00AB2B99" w:rsidRDefault="00000000" w:rsidP="007967F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4C87B3" w14:textId="77777777" w:rsidR="00AB2B99" w:rsidRDefault="00000000" w:rsidP="007967F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FEA6C9" w14:textId="77777777" w:rsidR="00AB2B99" w:rsidRDefault="00000000" w:rsidP="007967F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C512ECE" w14:textId="77777777" w:rsidR="00AB2B99" w:rsidRDefault="00000000" w:rsidP="007967F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7D811B" w14:textId="77777777" w:rsidR="00AB2B99" w:rsidRDefault="00000000" w:rsidP="007967F3">
            <w:pPr>
              <w:keepNext/>
              <w:keepLines/>
              <w:spacing w:after="0" w:line="240" w:lineRule="auto"/>
              <w:jc w:val="center"/>
            </w:pPr>
            <w:r>
              <w:rPr>
                <w:b/>
                <w:sz w:val="18"/>
              </w:rPr>
              <w:t>Indeks (%)</w:t>
            </w:r>
          </w:p>
        </w:tc>
      </w:tr>
      <w:tr w:rsidR="00AB2B99" w14:paraId="69BC095C" w14:textId="77777777">
        <w:tblPrEx>
          <w:tblCellMar>
            <w:top w:w="0" w:type="dxa"/>
            <w:bottom w:w="0" w:type="dxa"/>
          </w:tblCellMar>
        </w:tblPrEx>
        <w:trPr>
          <w:cantSplit/>
          <w:trHeight w:val="560"/>
        </w:trPr>
        <w:tc>
          <w:tcPr>
            <w:tcW w:w="700" w:type="dxa"/>
            <w:tcMar>
              <w:top w:w="0" w:type="dxa"/>
              <w:bottom w:w="0" w:type="dxa"/>
            </w:tcMar>
            <w:vAlign w:val="center"/>
          </w:tcPr>
          <w:p w14:paraId="67C2ECCF" w14:textId="77777777" w:rsidR="00AB2B99" w:rsidRDefault="00000000" w:rsidP="007967F3">
            <w:pPr>
              <w:keepNext/>
              <w:keepLines/>
              <w:spacing w:after="0" w:line="240" w:lineRule="auto"/>
            </w:pPr>
            <w:r>
              <w:rPr>
                <w:sz w:val="18"/>
              </w:rPr>
              <w:t>06</w:t>
            </w:r>
          </w:p>
        </w:tc>
        <w:tc>
          <w:tcPr>
            <w:tcW w:w="3180" w:type="dxa"/>
            <w:tcMar>
              <w:top w:w="0" w:type="dxa"/>
              <w:bottom w:w="0" w:type="dxa"/>
            </w:tcMar>
            <w:vAlign w:val="center"/>
          </w:tcPr>
          <w:p w14:paraId="3C039EDC" w14:textId="77777777" w:rsidR="00AB2B99" w:rsidRDefault="00000000" w:rsidP="007967F3">
            <w:pPr>
              <w:keepNext/>
              <w:keepLines/>
              <w:spacing w:after="0" w:line="240" w:lineRule="auto"/>
            </w:pPr>
            <w:r>
              <w:rPr>
                <w:sz w:val="18"/>
              </w:rPr>
              <w:t>Proizvedena kratkotrajna imovina (šifre 061 do 065)</w:t>
            </w:r>
          </w:p>
        </w:tc>
        <w:tc>
          <w:tcPr>
            <w:tcW w:w="700" w:type="dxa"/>
            <w:tcMar>
              <w:top w:w="0" w:type="dxa"/>
              <w:bottom w:w="0" w:type="dxa"/>
            </w:tcMar>
            <w:vAlign w:val="center"/>
          </w:tcPr>
          <w:p w14:paraId="71F239B5" w14:textId="77777777" w:rsidR="00AB2B99" w:rsidRDefault="00000000" w:rsidP="007967F3">
            <w:pPr>
              <w:keepNext/>
              <w:keepLines/>
              <w:spacing w:after="0" w:line="240" w:lineRule="auto"/>
            </w:pPr>
            <w:r>
              <w:rPr>
                <w:sz w:val="18"/>
              </w:rPr>
              <w:t>06</w:t>
            </w:r>
          </w:p>
        </w:tc>
        <w:tc>
          <w:tcPr>
            <w:tcW w:w="1860" w:type="dxa"/>
            <w:tcMar>
              <w:top w:w="0" w:type="dxa"/>
              <w:bottom w:w="0" w:type="dxa"/>
            </w:tcMar>
            <w:vAlign w:val="center"/>
          </w:tcPr>
          <w:p w14:paraId="749CC225" w14:textId="77777777" w:rsidR="00AB2B99" w:rsidRDefault="00000000" w:rsidP="007967F3">
            <w:pPr>
              <w:keepNext/>
              <w:keepLines/>
              <w:spacing w:after="0" w:line="240" w:lineRule="auto"/>
              <w:jc w:val="right"/>
            </w:pPr>
            <w:r>
              <w:rPr>
                <w:sz w:val="18"/>
              </w:rPr>
              <w:t>0,00</w:t>
            </w:r>
          </w:p>
        </w:tc>
        <w:tc>
          <w:tcPr>
            <w:tcW w:w="1860" w:type="dxa"/>
            <w:tcMar>
              <w:top w:w="0" w:type="dxa"/>
              <w:bottom w:w="0" w:type="dxa"/>
            </w:tcMar>
            <w:vAlign w:val="center"/>
          </w:tcPr>
          <w:p w14:paraId="3CD10D23" w14:textId="77777777" w:rsidR="00AB2B99" w:rsidRDefault="00000000" w:rsidP="007967F3">
            <w:pPr>
              <w:keepNext/>
              <w:keepLines/>
              <w:spacing w:after="0" w:line="240" w:lineRule="auto"/>
              <w:jc w:val="right"/>
            </w:pPr>
            <w:r>
              <w:rPr>
                <w:sz w:val="18"/>
              </w:rPr>
              <w:t>1.111,63</w:t>
            </w:r>
          </w:p>
        </w:tc>
        <w:tc>
          <w:tcPr>
            <w:tcW w:w="700" w:type="dxa"/>
            <w:tcMar>
              <w:top w:w="0" w:type="dxa"/>
              <w:bottom w:w="0" w:type="dxa"/>
            </w:tcMar>
            <w:vAlign w:val="center"/>
          </w:tcPr>
          <w:p w14:paraId="3AF1CFC2" w14:textId="77777777" w:rsidR="00AB2B99" w:rsidRDefault="00000000" w:rsidP="007967F3">
            <w:pPr>
              <w:keepNext/>
              <w:keepLines/>
              <w:spacing w:after="0" w:line="240" w:lineRule="auto"/>
              <w:jc w:val="right"/>
            </w:pPr>
            <w:r>
              <w:rPr>
                <w:sz w:val="18"/>
              </w:rPr>
              <w:t>-</w:t>
            </w:r>
          </w:p>
        </w:tc>
      </w:tr>
    </w:tbl>
    <w:p w14:paraId="6DBFFDFD" w14:textId="77777777" w:rsidR="00AB2B99" w:rsidRDefault="00AB2B99" w:rsidP="007967F3">
      <w:pPr>
        <w:spacing w:after="0" w:line="240" w:lineRule="auto"/>
      </w:pPr>
    </w:p>
    <w:p w14:paraId="797FBE81" w14:textId="77777777" w:rsidR="00AB2B99" w:rsidRDefault="00000000" w:rsidP="007967F3">
      <w:pPr>
        <w:spacing w:after="0" w:line="240" w:lineRule="auto"/>
        <w:jc w:val="both"/>
      </w:pPr>
      <w:r>
        <w:t>Zalihe primljene iz državnog proračuna za potrebe gašenja požara u sezoni požara. </w:t>
      </w:r>
    </w:p>
    <w:p w14:paraId="34BC54C6" w14:textId="77777777" w:rsidR="00AB2B99" w:rsidRDefault="00AB2B99" w:rsidP="007967F3">
      <w:pPr>
        <w:spacing w:after="0" w:line="240" w:lineRule="auto"/>
      </w:pPr>
    </w:p>
    <w:p w14:paraId="380CF7C9" w14:textId="77777777" w:rsidR="00AB2B99" w:rsidRDefault="00000000" w:rsidP="007967F3">
      <w:pPr>
        <w:keepNext/>
        <w:spacing w:after="0"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B2B99" w14:paraId="09D967C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8ABB46" w14:textId="77777777" w:rsidR="00AB2B99" w:rsidRDefault="00000000" w:rsidP="007967F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3F63CB" w14:textId="77777777" w:rsidR="00AB2B99" w:rsidRDefault="00000000" w:rsidP="007967F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E423C9" w14:textId="77777777" w:rsidR="00AB2B99" w:rsidRDefault="00000000" w:rsidP="007967F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3DA2F8" w14:textId="77777777" w:rsidR="00AB2B99" w:rsidRDefault="00000000" w:rsidP="007967F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DA1F2D7" w14:textId="77777777" w:rsidR="00AB2B99" w:rsidRDefault="00000000" w:rsidP="007967F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8EDE790" w14:textId="77777777" w:rsidR="00AB2B99" w:rsidRDefault="00000000" w:rsidP="007967F3">
            <w:pPr>
              <w:keepNext/>
              <w:keepLines/>
              <w:spacing w:after="0" w:line="240" w:lineRule="auto"/>
              <w:jc w:val="center"/>
            </w:pPr>
            <w:r>
              <w:rPr>
                <w:b/>
                <w:sz w:val="18"/>
              </w:rPr>
              <w:t>Indeks (%)</w:t>
            </w:r>
          </w:p>
        </w:tc>
      </w:tr>
      <w:tr w:rsidR="00AB2B99" w14:paraId="3AB83E9C" w14:textId="77777777">
        <w:tblPrEx>
          <w:tblCellMar>
            <w:top w:w="0" w:type="dxa"/>
            <w:bottom w:w="0" w:type="dxa"/>
          </w:tblCellMar>
        </w:tblPrEx>
        <w:trPr>
          <w:cantSplit/>
          <w:trHeight w:val="560"/>
        </w:trPr>
        <w:tc>
          <w:tcPr>
            <w:tcW w:w="700" w:type="dxa"/>
            <w:tcMar>
              <w:top w:w="0" w:type="dxa"/>
              <w:bottom w:w="0" w:type="dxa"/>
            </w:tcMar>
            <w:vAlign w:val="center"/>
          </w:tcPr>
          <w:p w14:paraId="746E859E" w14:textId="77777777" w:rsidR="00AB2B99" w:rsidRDefault="00000000" w:rsidP="007967F3">
            <w:pPr>
              <w:keepNext/>
              <w:keepLines/>
              <w:spacing w:after="0" w:line="240" w:lineRule="auto"/>
            </w:pPr>
            <w:r>
              <w:rPr>
                <w:sz w:val="18"/>
              </w:rPr>
              <w:t>167</w:t>
            </w:r>
          </w:p>
        </w:tc>
        <w:tc>
          <w:tcPr>
            <w:tcW w:w="3180" w:type="dxa"/>
            <w:tcMar>
              <w:top w:w="0" w:type="dxa"/>
              <w:bottom w:w="0" w:type="dxa"/>
            </w:tcMar>
            <w:vAlign w:val="center"/>
          </w:tcPr>
          <w:p w14:paraId="4F09002C" w14:textId="77777777" w:rsidR="00AB2B99" w:rsidRDefault="00000000" w:rsidP="007967F3">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14:paraId="275888E7" w14:textId="77777777" w:rsidR="00AB2B99" w:rsidRDefault="00000000" w:rsidP="007967F3">
            <w:pPr>
              <w:keepNext/>
              <w:keepLines/>
              <w:spacing w:after="0" w:line="240" w:lineRule="auto"/>
            </w:pPr>
            <w:r>
              <w:rPr>
                <w:sz w:val="18"/>
              </w:rPr>
              <w:t>167</w:t>
            </w:r>
          </w:p>
        </w:tc>
        <w:tc>
          <w:tcPr>
            <w:tcW w:w="1860" w:type="dxa"/>
            <w:tcMar>
              <w:top w:w="0" w:type="dxa"/>
              <w:bottom w:w="0" w:type="dxa"/>
            </w:tcMar>
            <w:vAlign w:val="center"/>
          </w:tcPr>
          <w:p w14:paraId="0A88D57F" w14:textId="77777777" w:rsidR="00AB2B99" w:rsidRDefault="00000000" w:rsidP="007967F3">
            <w:pPr>
              <w:keepNext/>
              <w:keepLines/>
              <w:spacing w:after="0" w:line="240" w:lineRule="auto"/>
              <w:jc w:val="right"/>
            </w:pPr>
            <w:r>
              <w:rPr>
                <w:sz w:val="18"/>
              </w:rPr>
              <w:t>10.195,95</w:t>
            </w:r>
          </w:p>
        </w:tc>
        <w:tc>
          <w:tcPr>
            <w:tcW w:w="1860" w:type="dxa"/>
            <w:tcMar>
              <w:top w:w="0" w:type="dxa"/>
              <w:bottom w:w="0" w:type="dxa"/>
            </w:tcMar>
            <w:vAlign w:val="center"/>
          </w:tcPr>
          <w:p w14:paraId="3E7318DE" w14:textId="77777777" w:rsidR="00AB2B99" w:rsidRDefault="00000000" w:rsidP="007967F3">
            <w:pPr>
              <w:keepNext/>
              <w:keepLines/>
              <w:spacing w:after="0" w:line="240" w:lineRule="auto"/>
              <w:jc w:val="right"/>
            </w:pPr>
            <w:r>
              <w:rPr>
                <w:sz w:val="18"/>
              </w:rPr>
              <w:t>17.056,08</w:t>
            </w:r>
          </w:p>
        </w:tc>
        <w:tc>
          <w:tcPr>
            <w:tcW w:w="700" w:type="dxa"/>
            <w:tcMar>
              <w:top w:w="0" w:type="dxa"/>
              <w:bottom w:w="0" w:type="dxa"/>
            </w:tcMar>
            <w:vAlign w:val="center"/>
          </w:tcPr>
          <w:p w14:paraId="608DCB2C" w14:textId="77777777" w:rsidR="00AB2B99" w:rsidRDefault="00000000" w:rsidP="007967F3">
            <w:pPr>
              <w:keepNext/>
              <w:keepLines/>
              <w:spacing w:after="0" w:line="240" w:lineRule="auto"/>
              <w:jc w:val="right"/>
            </w:pPr>
            <w:r>
              <w:rPr>
                <w:sz w:val="18"/>
              </w:rPr>
              <w:t>167,3</w:t>
            </w:r>
          </w:p>
        </w:tc>
      </w:tr>
    </w:tbl>
    <w:p w14:paraId="4946C887" w14:textId="77777777" w:rsidR="00AB2B99" w:rsidRDefault="00AB2B99" w:rsidP="007967F3">
      <w:pPr>
        <w:spacing w:after="0" w:line="240" w:lineRule="auto"/>
      </w:pPr>
    </w:p>
    <w:p w14:paraId="3B87C56D" w14:textId="77777777" w:rsidR="00AB2B99" w:rsidRDefault="00000000" w:rsidP="007967F3">
      <w:pPr>
        <w:spacing w:after="0" w:line="240" w:lineRule="auto"/>
        <w:jc w:val="both"/>
      </w:pPr>
      <w:r>
        <w:t>Javna vatrogasna postrojba u lokalnoj je riznici. Sredstva na skupini 167 novčana su sredstva koja se sastoje od viška iz vlastitih sredstva i neplaćenih obveza iz vlastitih sredstva.</w:t>
      </w:r>
    </w:p>
    <w:p w14:paraId="62ADAD07" w14:textId="77777777" w:rsidR="00AB2B99" w:rsidRDefault="00AB2B99" w:rsidP="007967F3">
      <w:pPr>
        <w:spacing w:after="0" w:line="240" w:lineRule="auto"/>
      </w:pPr>
    </w:p>
    <w:p w14:paraId="3BD3DBDB" w14:textId="77777777" w:rsidR="00AB2B99" w:rsidRDefault="00000000" w:rsidP="007967F3">
      <w:pPr>
        <w:keepNext/>
        <w:spacing w:after="0" w:line="240" w:lineRule="auto"/>
        <w:jc w:val="center"/>
      </w:pPr>
      <w:r>
        <w:rPr>
          <w:b/>
          <w:sz w:val="28"/>
        </w:rPr>
        <w:t>Izvještaj o obvezama</w:t>
      </w:r>
    </w:p>
    <w:p w14:paraId="49A63321" w14:textId="77777777" w:rsidR="00AB2B99" w:rsidRDefault="00000000" w:rsidP="007967F3">
      <w:pPr>
        <w:keepNext/>
        <w:spacing w:after="0"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B2B99" w14:paraId="68A2CD3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045946" w14:textId="77777777" w:rsidR="00AB2B99" w:rsidRDefault="00000000" w:rsidP="007967F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E19591" w14:textId="77777777" w:rsidR="00AB2B99" w:rsidRDefault="00000000" w:rsidP="007967F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33ABEC" w14:textId="77777777" w:rsidR="00AB2B99" w:rsidRDefault="00000000" w:rsidP="007967F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576B2E" w14:textId="77777777" w:rsidR="00AB2B99" w:rsidRDefault="00000000" w:rsidP="007967F3">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7B79382" w14:textId="77777777" w:rsidR="00AB2B99" w:rsidRDefault="00000000" w:rsidP="007967F3">
            <w:pPr>
              <w:keepNext/>
              <w:keepLines/>
              <w:spacing w:after="0" w:line="240" w:lineRule="auto"/>
              <w:jc w:val="center"/>
            </w:pPr>
            <w:r>
              <w:rPr>
                <w:b/>
                <w:sz w:val="18"/>
              </w:rPr>
              <w:t>Indeks (%)</w:t>
            </w:r>
          </w:p>
        </w:tc>
      </w:tr>
      <w:tr w:rsidR="00AB2B99" w14:paraId="6530832A" w14:textId="77777777">
        <w:tblPrEx>
          <w:tblCellMar>
            <w:top w:w="0" w:type="dxa"/>
            <w:bottom w:w="0" w:type="dxa"/>
          </w:tblCellMar>
        </w:tblPrEx>
        <w:trPr>
          <w:cantSplit/>
          <w:trHeight w:val="560"/>
        </w:trPr>
        <w:tc>
          <w:tcPr>
            <w:tcW w:w="700" w:type="dxa"/>
            <w:tcMar>
              <w:top w:w="0" w:type="dxa"/>
              <w:bottom w:w="0" w:type="dxa"/>
            </w:tcMar>
            <w:vAlign w:val="center"/>
          </w:tcPr>
          <w:p w14:paraId="48A7EC3B" w14:textId="77777777" w:rsidR="00AB2B99" w:rsidRDefault="00AB2B99" w:rsidP="007967F3">
            <w:pPr>
              <w:keepNext/>
              <w:keepLines/>
              <w:spacing w:after="0" w:line="240" w:lineRule="auto"/>
            </w:pPr>
          </w:p>
        </w:tc>
        <w:tc>
          <w:tcPr>
            <w:tcW w:w="3180" w:type="dxa"/>
            <w:tcMar>
              <w:top w:w="0" w:type="dxa"/>
              <w:bottom w:w="0" w:type="dxa"/>
            </w:tcMar>
            <w:vAlign w:val="center"/>
          </w:tcPr>
          <w:p w14:paraId="6D1E7C2E" w14:textId="77777777" w:rsidR="00AB2B99" w:rsidRDefault="00000000" w:rsidP="007967F3">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458EEE5E" w14:textId="77777777" w:rsidR="00AB2B99" w:rsidRDefault="00000000" w:rsidP="007967F3">
            <w:pPr>
              <w:keepNext/>
              <w:keepLines/>
              <w:spacing w:after="0" w:line="240" w:lineRule="auto"/>
            </w:pPr>
            <w:r>
              <w:rPr>
                <w:sz w:val="18"/>
              </w:rPr>
              <w:t>V007</w:t>
            </w:r>
          </w:p>
        </w:tc>
        <w:tc>
          <w:tcPr>
            <w:tcW w:w="1860" w:type="dxa"/>
            <w:tcMar>
              <w:top w:w="0" w:type="dxa"/>
              <w:bottom w:w="0" w:type="dxa"/>
            </w:tcMar>
            <w:vAlign w:val="center"/>
          </w:tcPr>
          <w:p w14:paraId="175B5728" w14:textId="77777777" w:rsidR="00AB2B99" w:rsidRDefault="00000000" w:rsidP="007967F3">
            <w:pPr>
              <w:keepNext/>
              <w:keepLines/>
              <w:spacing w:after="0" w:line="240" w:lineRule="auto"/>
              <w:jc w:val="right"/>
            </w:pPr>
            <w:r>
              <w:rPr>
                <w:sz w:val="18"/>
              </w:rPr>
              <w:t>1.449,66</w:t>
            </w:r>
          </w:p>
        </w:tc>
        <w:tc>
          <w:tcPr>
            <w:tcW w:w="700" w:type="dxa"/>
            <w:tcMar>
              <w:top w:w="0" w:type="dxa"/>
              <w:bottom w:w="0" w:type="dxa"/>
            </w:tcMar>
            <w:vAlign w:val="center"/>
          </w:tcPr>
          <w:p w14:paraId="262B4631" w14:textId="77777777" w:rsidR="00AB2B99" w:rsidRDefault="00000000" w:rsidP="007967F3">
            <w:pPr>
              <w:keepNext/>
              <w:keepLines/>
              <w:spacing w:after="0" w:line="240" w:lineRule="auto"/>
              <w:jc w:val="right"/>
            </w:pPr>
            <w:r>
              <w:rPr>
                <w:sz w:val="18"/>
              </w:rPr>
              <w:t>-</w:t>
            </w:r>
          </w:p>
        </w:tc>
      </w:tr>
    </w:tbl>
    <w:p w14:paraId="1124D966" w14:textId="77777777" w:rsidR="00AB2B99" w:rsidRDefault="00AB2B99" w:rsidP="007967F3">
      <w:pPr>
        <w:spacing w:after="0" w:line="240" w:lineRule="auto"/>
      </w:pPr>
    </w:p>
    <w:p w14:paraId="4DB4CA30" w14:textId="77777777" w:rsidR="00AB2B99" w:rsidRDefault="00000000" w:rsidP="007967F3">
      <w:pPr>
        <w:spacing w:after="0" w:line="240" w:lineRule="auto"/>
        <w:jc w:val="both"/>
      </w:pPr>
      <w:r>
        <w:t xml:space="preserve">Neplaćene dospjele obveze odnose na dva računa od dobavljača Tifon i jedan račun dobavljača </w:t>
      </w:r>
      <w:proofErr w:type="spellStart"/>
      <w:r>
        <w:t>Hep</w:t>
      </w:r>
      <w:proofErr w:type="spellEnd"/>
      <w:r>
        <w:t xml:space="preserve"> plin. Sva tri računa su u nekoliko navrata bila odbijena te su zaprimljeni tijekom 2026., s dospijećem računa koje se odnosi na razdoblje 2025. godine. </w:t>
      </w:r>
    </w:p>
    <w:p w14:paraId="2BBD6CC1" w14:textId="77777777" w:rsidR="00AB2B99" w:rsidRDefault="00AB2B99" w:rsidP="007967F3">
      <w:pPr>
        <w:spacing w:after="0" w:line="240" w:lineRule="auto"/>
      </w:pPr>
    </w:p>
    <w:sectPr w:rsidR="00AB2B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B2B99"/>
    <w:rsid w:val="007967F3"/>
    <w:rsid w:val="00A37884"/>
    <w:rsid w:val="00AB2B99"/>
    <w:rsid w:val="00DC20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C3327"/>
  <w15:docId w15:val="{30D5D87A-593B-4129-9DB5-5465A927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4954</Characters>
  <Application>Microsoft Office Word</Application>
  <DocSecurity>0</DocSecurity>
  <Lines>41</Lines>
  <Paragraphs>11</Paragraphs>
  <ScaleCrop>false</ScaleCrop>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Slavica  Kruljac</cp:lastModifiedBy>
  <cp:revision>2</cp:revision>
  <dcterms:created xsi:type="dcterms:W3CDTF">2026-02-17T08:25:00Z</dcterms:created>
  <dcterms:modified xsi:type="dcterms:W3CDTF">2026-02-17T08:25:00Z</dcterms:modified>
</cp:coreProperties>
</file>