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D36F4" w14:textId="406B3B82" w:rsidR="00AA0F8E" w:rsidRPr="009677CC" w:rsidRDefault="00AA0F8E" w:rsidP="00AA0F8E">
      <w:pPr>
        <w:jc w:val="center"/>
        <w:rPr>
          <w:bCs/>
          <w:sz w:val="22"/>
          <w:szCs w:val="22"/>
          <w:lang w:val="hr-HR"/>
        </w:rPr>
      </w:pPr>
      <w:r w:rsidRPr="009677CC">
        <w:rPr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 wp14:anchorId="217BABE4" wp14:editId="207E0240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2706" w14:textId="77777777" w:rsidR="007540B6" w:rsidRDefault="007540B6" w:rsidP="00AA0F8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17BA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6131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" stroked="f">
                <v:textbox inset="0,0,0,0">
                  <w:txbxContent>
                    <w:p w14:paraId="44AF2706" w14:textId="77777777" w:rsidR="007540B6" w:rsidRDefault="007540B6" w:rsidP="00AA0F8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9677CC">
        <w:rPr>
          <w:bCs/>
          <w:sz w:val="22"/>
          <w:szCs w:val="22"/>
          <w:lang w:val="hr-HR"/>
        </w:rPr>
        <w:t xml:space="preserve">OBRAZLOŽENJE UZ </w:t>
      </w:r>
      <w:r w:rsidR="005B3955" w:rsidRPr="009677CC">
        <w:rPr>
          <w:bCs/>
          <w:sz w:val="22"/>
          <w:szCs w:val="22"/>
          <w:lang w:val="hr-HR"/>
        </w:rPr>
        <w:t xml:space="preserve">II. </w:t>
      </w:r>
      <w:r w:rsidRPr="009677CC">
        <w:rPr>
          <w:bCs/>
          <w:sz w:val="22"/>
          <w:szCs w:val="22"/>
          <w:lang w:val="hr-HR"/>
        </w:rPr>
        <w:t xml:space="preserve">IZMJENE I DOPUNE PRORAČUNA GRADA POŽEGE </w:t>
      </w:r>
    </w:p>
    <w:p w14:paraId="60421644" w14:textId="024B29C8" w:rsidR="00AA0F8E" w:rsidRPr="009677CC" w:rsidRDefault="00AA0F8E" w:rsidP="00AA0F8E">
      <w:pPr>
        <w:jc w:val="center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ZA 2021. GODINU </w:t>
      </w:r>
    </w:p>
    <w:p w14:paraId="625D108F" w14:textId="77777777" w:rsidR="00AA0F8E" w:rsidRPr="009677CC" w:rsidRDefault="00AA0F8E" w:rsidP="00AA0F8E">
      <w:pPr>
        <w:jc w:val="both"/>
        <w:rPr>
          <w:bCs/>
          <w:sz w:val="22"/>
          <w:szCs w:val="22"/>
          <w:lang w:val="hr-HR"/>
        </w:rPr>
      </w:pPr>
    </w:p>
    <w:p w14:paraId="27512055" w14:textId="77777777" w:rsidR="00AA0F8E" w:rsidRPr="009677CC" w:rsidRDefault="00AA0F8E" w:rsidP="00AA0F8E">
      <w:pPr>
        <w:rPr>
          <w:bCs/>
          <w:sz w:val="22"/>
          <w:szCs w:val="22"/>
          <w:lang w:val="hr-HR"/>
        </w:rPr>
      </w:pPr>
      <w:bookmarkStart w:id="0" w:name="_GoBack"/>
      <w:bookmarkEnd w:id="0"/>
    </w:p>
    <w:p w14:paraId="60218402" w14:textId="206F0E48" w:rsidR="00AA0F8E" w:rsidRPr="009677CC" w:rsidRDefault="00AA0F8E" w:rsidP="007E7176">
      <w:pPr>
        <w:ind w:left="284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I.</w:t>
      </w:r>
      <w:r w:rsidRPr="009677CC">
        <w:rPr>
          <w:bCs/>
          <w:sz w:val="22"/>
          <w:szCs w:val="22"/>
          <w:lang w:val="hr-HR"/>
        </w:rPr>
        <w:tab/>
        <w:t>UVOD</w:t>
      </w:r>
    </w:p>
    <w:p w14:paraId="5F83949B" w14:textId="77777777" w:rsidR="007E7176" w:rsidRPr="009677CC" w:rsidRDefault="007E7176" w:rsidP="007E7176">
      <w:pPr>
        <w:rPr>
          <w:bCs/>
          <w:sz w:val="22"/>
          <w:szCs w:val="22"/>
          <w:lang w:val="hr-HR"/>
        </w:rPr>
      </w:pPr>
    </w:p>
    <w:p w14:paraId="3FB6C9E3" w14:textId="0FA6474B" w:rsidR="005B3955" w:rsidRPr="009677CC" w:rsidRDefault="007540B6" w:rsidP="005B3955">
      <w:pPr>
        <w:tabs>
          <w:tab w:val="left" w:pos="709"/>
          <w:tab w:val="left" w:pos="7300"/>
        </w:tabs>
        <w:jc w:val="both"/>
        <w:rPr>
          <w:rStyle w:val="FontStyle11"/>
          <w:b w:val="0"/>
        </w:rPr>
      </w:pPr>
      <w:r w:rsidRPr="009677CC">
        <w:rPr>
          <w:bCs/>
          <w:sz w:val="22"/>
          <w:szCs w:val="22"/>
          <w:lang w:val="hr-HR"/>
        </w:rPr>
        <w:tab/>
      </w:r>
      <w:r w:rsidR="00AA0F8E" w:rsidRPr="009677CC">
        <w:rPr>
          <w:bCs/>
          <w:sz w:val="22"/>
          <w:szCs w:val="22"/>
          <w:lang w:val="hr-HR"/>
        </w:rPr>
        <w:t xml:space="preserve">Proračun Grada Požege za 2021. godinu usvojilo je Gradsko vijeće Grada Požege na </w:t>
      </w:r>
      <w:r w:rsidR="00615802" w:rsidRPr="009677CC">
        <w:rPr>
          <w:bCs/>
          <w:sz w:val="22"/>
          <w:szCs w:val="22"/>
          <w:lang w:val="hr-HR"/>
        </w:rPr>
        <w:t xml:space="preserve">25. sjednici </w:t>
      </w:r>
      <w:r w:rsidR="00AA0F8E" w:rsidRPr="009677CC">
        <w:rPr>
          <w:bCs/>
          <w:sz w:val="22"/>
          <w:szCs w:val="22"/>
          <w:lang w:val="hr-HR"/>
        </w:rPr>
        <w:t xml:space="preserve">dana, </w:t>
      </w:r>
      <w:r w:rsidR="00615802" w:rsidRPr="009677CC">
        <w:rPr>
          <w:bCs/>
          <w:sz w:val="22"/>
          <w:szCs w:val="22"/>
          <w:lang w:val="hr-HR"/>
        </w:rPr>
        <w:t>8</w:t>
      </w:r>
      <w:r w:rsidR="00AA0F8E" w:rsidRPr="009677CC">
        <w:rPr>
          <w:bCs/>
          <w:sz w:val="22"/>
          <w:szCs w:val="22"/>
          <w:lang w:val="hr-HR"/>
        </w:rPr>
        <w:t>. prosinca 20</w:t>
      </w:r>
      <w:r w:rsidR="00615802" w:rsidRPr="009677CC">
        <w:rPr>
          <w:bCs/>
          <w:sz w:val="22"/>
          <w:szCs w:val="22"/>
          <w:lang w:val="hr-HR"/>
        </w:rPr>
        <w:t>20</w:t>
      </w:r>
      <w:r w:rsidR="00AA0F8E" w:rsidRPr="009677CC">
        <w:rPr>
          <w:bCs/>
          <w:sz w:val="22"/>
          <w:szCs w:val="22"/>
          <w:lang w:val="hr-HR"/>
        </w:rPr>
        <w:t>. godine (Službene novine Grada Požege, broj: 1</w:t>
      </w:r>
      <w:r w:rsidR="00615802" w:rsidRPr="009677CC">
        <w:rPr>
          <w:bCs/>
          <w:sz w:val="22"/>
          <w:szCs w:val="22"/>
          <w:lang w:val="hr-HR"/>
        </w:rPr>
        <w:t>3</w:t>
      </w:r>
      <w:r w:rsidR="00AA0F8E" w:rsidRPr="009677CC">
        <w:rPr>
          <w:bCs/>
          <w:sz w:val="22"/>
          <w:szCs w:val="22"/>
          <w:lang w:val="hr-HR"/>
        </w:rPr>
        <w:t>/</w:t>
      </w:r>
      <w:r w:rsidR="00615802" w:rsidRPr="009677CC">
        <w:rPr>
          <w:bCs/>
          <w:sz w:val="22"/>
          <w:szCs w:val="22"/>
          <w:lang w:val="hr-HR"/>
        </w:rPr>
        <w:t>20</w:t>
      </w:r>
      <w:r w:rsidR="00AA0F8E" w:rsidRPr="009677CC">
        <w:rPr>
          <w:b/>
          <w:sz w:val="22"/>
          <w:szCs w:val="22"/>
          <w:lang w:val="hr-HR"/>
        </w:rPr>
        <w:t>.)</w:t>
      </w:r>
      <w:r w:rsidRPr="009677CC">
        <w:rPr>
          <w:b/>
          <w:sz w:val="22"/>
          <w:szCs w:val="22"/>
          <w:lang w:val="hr-HR"/>
        </w:rPr>
        <w:t xml:space="preserve"> </w:t>
      </w:r>
      <w:r w:rsidRPr="009677CC">
        <w:rPr>
          <w:sz w:val="22"/>
          <w:szCs w:val="22"/>
          <w:lang w:val="hr-HR"/>
        </w:rPr>
        <w:t>u iznosu 169.790.800,00 kn</w:t>
      </w:r>
      <w:r w:rsidR="00AA0F8E" w:rsidRPr="009677CC">
        <w:rPr>
          <w:sz w:val="22"/>
          <w:szCs w:val="22"/>
          <w:lang w:val="hr-HR"/>
        </w:rPr>
        <w:t xml:space="preserve">. </w:t>
      </w:r>
      <w:r w:rsidR="005B3955" w:rsidRPr="009677CC">
        <w:rPr>
          <w:rStyle w:val="FontStyle11"/>
          <w:b w:val="0"/>
          <w:lang w:val="hr-HR"/>
        </w:rPr>
        <w:t>Izmjen</w:t>
      </w:r>
      <w:r w:rsidRPr="009677CC">
        <w:rPr>
          <w:rStyle w:val="FontStyle11"/>
          <w:b w:val="0"/>
          <w:lang w:val="hr-HR"/>
        </w:rPr>
        <w:t>ama</w:t>
      </w:r>
      <w:r w:rsidR="005B3955" w:rsidRPr="009677CC">
        <w:rPr>
          <w:rStyle w:val="FontStyle11"/>
          <w:b w:val="0"/>
          <w:lang w:val="hr-HR"/>
        </w:rPr>
        <w:t xml:space="preserve"> i dopun</w:t>
      </w:r>
      <w:r w:rsidRPr="009677CC">
        <w:rPr>
          <w:rStyle w:val="FontStyle11"/>
          <w:b w:val="0"/>
          <w:lang w:val="hr-HR"/>
        </w:rPr>
        <w:t xml:space="preserve">ama </w:t>
      </w:r>
      <w:r w:rsidR="005B3955" w:rsidRPr="009677CC">
        <w:rPr>
          <w:rStyle w:val="FontStyle11"/>
          <w:b w:val="0"/>
          <w:lang w:val="hr-HR"/>
        </w:rPr>
        <w:t xml:space="preserve">Proračuna Grada Požege, koje je usvojilo Gradsko vijeće Grada Požege na </w:t>
      </w:r>
      <w:r w:rsidR="007950DE" w:rsidRPr="009677CC">
        <w:rPr>
          <w:rStyle w:val="FontStyle11"/>
          <w:b w:val="0"/>
          <w:lang w:val="hr-HR"/>
        </w:rPr>
        <w:t>5</w:t>
      </w:r>
      <w:r w:rsidR="005B3955" w:rsidRPr="009677CC">
        <w:rPr>
          <w:rStyle w:val="FontStyle11"/>
          <w:b w:val="0"/>
          <w:lang w:val="hr-HR"/>
        </w:rPr>
        <w:t>. sjednici dana, 2</w:t>
      </w:r>
      <w:r w:rsidR="007950DE" w:rsidRPr="009677CC">
        <w:rPr>
          <w:rStyle w:val="FontStyle11"/>
          <w:b w:val="0"/>
          <w:lang w:val="hr-HR"/>
        </w:rPr>
        <w:t>1</w:t>
      </w:r>
      <w:r w:rsidR="005B3955" w:rsidRPr="009677CC">
        <w:rPr>
          <w:rStyle w:val="FontStyle11"/>
          <w:b w:val="0"/>
          <w:lang w:val="hr-HR"/>
        </w:rPr>
        <w:t>. li</w:t>
      </w:r>
      <w:r w:rsidR="007950DE" w:rsidRPr="009677CC">
        <w:rPr>
          <w:rStyle w:val="FontStyle11"/>
          <w:b w:val="0"/>
          <w:lang w:val="hr-HR"/>
        </w:rPr>
        <w:t>stopada</w:t>
      </w:r>
      <w:r w:rsidR="005B3955" w:rsidRPr="009677CC">
        <w:rPr>
          <w:rStyle w:val="FontStyle11"/>
          <w:b w:val="0"/>
          <w:lang w:val="hr-HR"/>
        </w:rPr>
        <w:t xml:space="preserve"> 202</w:t>
      </w:r>
      <w:r w:rsidR="007950DE" w:rsidRPr="009677CC">
        <w:rPr>
          <w:rStyle w:val="FontStyle11"/>
          <w:b w:val="0"/>
          <w:lang w:val="hr-HR"/>
        </w:rPr>
        <w:t>1</w:t>
      </w:r>
      <w:r w:rsidR="005B3955" w:rsidRPr="009677CC">
        <w:rPr>
          <w:rStyle w:val="FontStyle11"/>
          <w:b w:val="0"/>
          <w:lang w:val="hr-HR"/>
        </w:rPr>
        <w:t xml:space="preserve">. godine (Službene novine Grada Požege broj: </w:t>
      </w:r>
      <w:r w:rsidR="007950DE" w:rsidRPr="009677CC">
        <w:rPr>
          <w:rStyle w:val="FontStyle11"/>
          <w:b w:val="0"/>
          <w:lang w:val="hr-HR"/>
        </w:rPr>
        <w:t>19/21</w:t>
      </w:r>
      <w:r w:rsidR="005B3955" w:rsidRPr="009677CC">
        <w:rPr>
          <w:rStyle w:val="FontStyle11"/>
          <w:b w:val="0"/>
          <w:lang w:val="hr-HR"/>
        </w:rPr>
        <w:t>.)</w:t>
      </w:r>
      <w:r w:rsidRPr="009677CC">
        <w:rPr>
          <w:rStyle w:val="FontStyle11"/>
          <w:b w:val="0"/>
          <w:lang w:val="hr-HR"/>
        </w:rPr>
        <w:t xml:space="preserve"> planiran je u visinu 169.012.410,00 kn.</w:t>
      </w:r>
      <w:r w:rsidR="007950DE" w:rsidRPr="009677CC">
        <w:rPr>
          <w:rStyle w:val="FontStyle11"/>
          <w:b w:val="0"/>
          <w:lang w:val="hr-HR"/>
        </w:rPr>
        <w:t>.</w:t>
      </w:r>
    </w:p>
    <w:p w14:paraId="00D239BD" w14:textId="626BE600" w:rsidR="00AA0F8E" w:rsidRPr="009677CC" w:rsidRDefault="00AA0F8E" w:rsidP="007E7176">
      <w:pPr>
        <w:ind w:firstLine="284"/>
        <w:jc w:val="both"/>
        <w:rPr>
          <w:bCs/>
          <w:sz w:val="22"/>
          <w:szCs w:val="22"/>
          <w:lang w:val="hr-HR"/>
        </w:rPr>
      </w:pPr>
    </w:p>
    <w:p w14:paraId="1BFDC88D" w14:textId="08092E4E" w:rsidR="00AA0F8E" w:rsidRPr="009677CC" w:rsidRDefault="00615802" w:rsidP="007E7176">
      <w:pPr>
        <w:ind w:firstLine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Zakonska osnova za donošenje Izmjena i dopuna Proračuna Grada Požege za 2021. godinu je u </w:t>
      </w:r>
      <w:r w:rsidR="001C7966" w:rsidRPr="009677CC">
        <w:rPr>
          <w:bCs/>
          <w:sz w:val="22"/>
          <w:szCs w:val="22"/>
          <w:lang w:val="hr-HR"/>
        </w:rPr>
        <w:t>odredbama</w:t>
      </w:r>
      <w:r w:rsidRPr="009677CC">
        <w:rPr>
          <w:bCs/>
          <w:sz w:val="22"/>
          <w:szCs w:val="22"/>
          <w:lang w:val="hr-HR"/>
        </w:rPr>
        <w:t xml:space="preserve"> Zakona o proračunu (Narodne novine, broj: 87/08, 136/12 i 15/15), te</w:t>
      </w:r>
      <w:r w:rsidR="001C7966" w:rsidRPr="009677CC">
        <w:rPr>
          <w:bCs/>
          <w:sz w:val="22"/>
          <w:szCs w:val="22"/>
          <w:lang w:val="hr-HR"/>
        </w:rPr>
        <w:t xml:space="preserve"> </w:t>
      </w:r>
      <w:r w:rsidRPr="009677CC">
        <w:rPr>
          <w:bCs/>
          <w:sz w:val="22"/>
          <w:szCs w:val="22"/>
          <w:lang w:val="hr-HR"/>
        </w:rPr>
        <w:t xml:space="preserve"> Statuta Grada Požege (Službene novine Grada Požege, broj: 2/21.)</w:t>
      </w:r>
      <w:r w:rsidR="00AA0F8E" w:rsidRPr="009677CC">
        <w:rPr>
          <w:bCs/>
          <w:sz w:val="22"/>
          <w:szCs w:val="22"/>
          <w:lang w:val="hr-HR"/>
        </w:rPr>
        <w:t xml:space="preserve"> </w:t>
      </w:r>
    </w:p>
    <w:p w14:paraId="7203883C" w14:textId="77777777" w:rsidR="00AA0F8E" w:rsidRPr="009677CC" w:rsidRDefault="00AA0F8E" w:rsidP="00AA0F8E">
      <w:pPr>
        <w:jc w:val="both"/>
        <w:rPr>
          <w:sz w:val="22"/>
          <w:szCs w:val="22"/>
          <w:lang w:val="hr-HR"/>
        </w:rPr>
      </w:pPr>
    </w:p>
    <w:p w14:paraId="0C8E684A" w14:textId="77777777" w:rsidR="00AA0F8E" w:rsidRPr="009677CC" w:rsidRDefault="00AA0F8E" w:rsidP="00AA0F8E">
      <w:pPr>
        <w:ind w:left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II.</w:t>
      </w:r>
      <w:r w:rsidRPr="009677CC">
        <w:rPr>
          <w:bCs/>
          <w:sz w:val="22"/>
          <w:szCs w:val="22"/>
          <w:lang w:val="hr-HR"/>
        </w:rPr>
        <w:tab/>
        <w:t>OBRAZLOŽENJE IZMJENA PRIHODA I PRIMITAKA, RASHODA I IZDATAKA</w:t>
      </w:r>
    </w:p>
    <w:p w14:paraId="4E438BC4" w14:textId="77777777" w:rsidR="00AA0F8E" w:rsidRPr="009677CC" w:rsidRDefault="00AA0F8E" w:rsidP="00AA0F8E">
      <w:pPr>
        <w:tabs>
          <w:tab w:val="left" w:pos="709"/>
          <w:tab w:val="left" w:pos="7300"/>
        </w:tabs>
        <w:jc w:val="both"/>
        <w:rPr>
          <w:bCs/>
          <w:sz w:val="22"/>
          <w:szCs w:val="22"/>
          <w:lang w:val="hr-HR"/>
        </w:rPr>
      </w:pPr>
    </w:p>
    <w:p w14:paraId="0566C6BE" w14:textId="098B3E7B" w:rsidR="001B5411" w:rsidRPr="009677CC" w:rsidRDefault="00BC495D" w:rsidP="007540B6">
      <w:pPr>
        <w:ind w:firstLine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Ove </w:t>
      </w:r>
      <w:r w:rsidR="004A4159" w:rsidRPr="009677CC">
        <w:rPr>
          <w:bCs/>
          <w:sz w:val="22"/>
          <w:szCs w:val="22"/>
          <w:lang w:val="hr-HR"/>
        </w:rPr>
        <w:t>Izmjene i dopune Proračuna Grada Požege za 2021. godinu donose se radi uravnoteženja prihoda i rashoda sa njihovim ostvarenjem i projiciran</w:t>
      </w:r>
      <w:r w:rsidR="007540B6" w:rsidRPr="009677CC">
        <w:rPr>
          <w:bCs/>
          <w:sz w:val="22"/>
          <w:szCs w:val="22"/>
          <w:lang w:val="hr-HR"/>
        </w:rPr>
        <w:t>im ostvarenjem do kraja godine.</w:t>
      </w:r>
      <w:r w:rsidR="001C7966" w:rsidRPr="009677CC">
        <w:rPr>
          <w:bCs/>
          <w:sz w:val="22"/>
          <w:szCs w:val="22"/>
          <w:lang w:val="hr-HR"/>
        </w:rPr>
        <w:t xml:space="preserve"> </w:t>
      </w:r>
    </w:p>
    <w:p w14:paraId="20DD765B" w14:textId="104FFF64" w:rsidR="001B5411" w:rsidRPr="009677CC" w:rsidRDefault="00BC495D" w:rsidP="006B2459">
      <w:pPr>
        <w:ind w:firstLine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Prihodi i primici, rashodi i izdaci </w:t>
      </w:r>
      <w:r w:rsidR="00AA0F8E" w:rsidRPr="009677CC">
        <w:rPr>
          <w:bCs/>
          <w:sz w:val="22"/>
          <w:szCs w:val="22"/>
          <w:lang w:val="hr-HR"/>
        </w:rPr>
        <w:t xml:space="preserve">smanjuju se za </w:t>
      </w:r>
      <w:r w:rsidR="00DA194C" w:rsidRPr="009677CC">
        <w:rPr>
          <w:bCs/>
          <w:sz w:val="22"/>
          <w:szCs w:val="22"/>
          <w:lang w:val="hr-HR"/>
        </w:rPr>
        <w:t>11.826.728</w:t>
      </w:r>
      <w:r w:rsidR="007C15EB" w:rsidRPr="009677CC">
        <w:rPr>
          <w:bCs/>
          <w:sz w:val="22"/>
          <w:szCs w:val="22"/>
          <w:lang w:val="hr-HR"/>
        </w:rPr>
        <w:t xml:space="preserve">,00 kn, odnosno za </w:t>
      </w:r>
      <w:r w:rsidR="000F5D88" w:rsidRPr="009677CC">
        <w:rPr>
          <w:bCs/>
          <w:sz w:val="22"/>
          <w:szCs w:val="22"/>
          <w:lang w:val="hr-HR"/>
        </w:rPr>
        <w:t>7,</w:t>
      </w:r>
      <w:r w:rsidRPr="009677CC">
        <w:rPr>
          <w:bCs/>
          <w:sz w:val="22"/>
          <w:szCs w:val="22"/>
          <w:lang w:val="hr-HR"/>
        </w:rPr>
        <w:t>0</w:t>
      </w:r>
      <w:r w:rsidR="00BB0190" w:rsidRPr="009677CC">
        <w:rPr>
          <w:bCs/>
          <w:sz w:val="22"/>
          <w:szCs w:val="22"/>
          <w:lang w:val="hr-HR"/>
        </w:rPr>
        <w:t xml:space="preserve"> %  </w:t>
      </w:r>
      <w:r w:rsidR="00AA0F8E" w:rsidRPr="009677CC">
        <w:rPr>
          <w:bCs/>
          <w:sz w:val="22"/>
          <w:szCs w:val="22"/>
          <w:lang w:val="hr-HR"/>
        </w:rPr>
        <w:t>i</w:t>
      </w:r>
      <w:r w:rsidRPr="009677CC">
        <w:rPr>
          <w:bCs/>
          <w:sz w:val="22"/>
          <w:szCs w:val="22"/>
          <w:lang w:val="hr-HR"/>
        </w:rPr>
        <w:t xml:space="preserve"> sa planiranim prenesenim rezultatom </w:t>
      </w:r>
      <w:r w:rsidR="00B47F53" w:rsidRPr="009677CC">
        <w:rPr>
          <w:bCs/>
          <w:sz w:val="22"/>
          <w:szCs w:val="22"/>
          <w:lang w:val="hr-HR"/>
        </w:rPr>
        <w:t>od</w:t>
      </w:r>
      <w:r w:rsidRPr="009677CC">
        <w:rPr>
          <w:bCs/>
          <w:sz w:val="22"/>
          <w:szCs w:val="22"/>
          <w:lang w:val="hr-HR"/>
        </w:rPr>
        <w:t xml:space="preserve"> 8.059.658,00 kn iznose</w:t>
      </w:r>
      <w:r w:rsidR="00B47F53" w:rsidRPr="009677CC">
        <w:rPr>
          <w:bCs/>
          <w:sz w:val="22"/>
          <w:szCs w:val="22"/>
          <w:lang w:val="hr-HR"/>
        </w:rPr>
        <w:t xml:space="preserve"> </w:t>
      </w:r>
      <w:r w:rsidR="009B6BCA" w:rsidRPr="009677CC">
        <w:rPr>
          <w:bCs/>
          <w:sz w:val="22"/>
          <w:szCs w:val="22"/>
          <w:lang w:val="hr-HR"/>
        </w:rPr>
        <w:t>1</w:t>
      </w:r>
      <w:r w:rsidR="003E40B1" w:rsidRPr="009677CC">
        <w:rPr>
          <w:bCs/>
          <w:sz w:val="22"/>
          <w:szCs w:val="22"/>
          <w:lang w:val="hr-HR"/>
        </w:rPr>
        <w:t>57.185.682,00</w:t>
      </w:r>
      <w:r w:rsidR="001B5411" w:rsidRPr="009677CC">
        <w:rPr>
          <w:bCs/>
          <w:sz w:val="22"/>
          <w:szCs w:val="22"/>
          <w:lang w:val="hr-HR"/>
        </w:rPr>
        <w:t xml:space="preserve"> kn</w:t>
      </w:r>
      <w:r w:rsidRPr="009677CC">
        <w:rPr>
          <w:bCs/>
          <w:sz w:val="22"/>
          <w:szCs w:val="22"/>
          <w:lang w:val="hr-HR"/>
        </w:rPr>
        <w:t>.</w:t>
      </w:r>
    </w:p>
    <w:p w14:paraId="52D41245" w14:textId="3BA95871" w:rsidR="00F84343" w:rsidRPr="009677CC" w:rsidRDefault="00AA0F8E" w:rsidP="006B2459">
      <w:pPr>
        <w:ind w:firstLine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Uz ove </w:t>
      </w:r>
      <w:r w:rsidR="00C92853" w:rsidRPr="009677CC">
        <w:rPr>
          <w:bCs/>
          <w:sz w:val="22"/>
          <w:szCs w:val="22"/>
          <w:lang w:val="hr-HR"/>
        </w:rPr>
        <w:t xml:space="preserve">II. </w:t>
      </w:r>
      <w:r w:rsidRPr="009677CC">
        <w:rPr>
          <w:bCs/>
          <w:sz w:val="22"/>
          <w:szCs w:val="22"/>
          <w:lang w:val="hr-HR"/>
        </w:rPr>
        <w:t>Izmjene i dopune Proračuna za 202</w:t>
      </w:r>
      <w:r w:rsidR="001B5411" w:rsidRPr="009677CC">
        <w:rPr>
          <w:bCs/>
          <w:sz w:val="22"/>
          <w:szCs w:val="22"/>
          <w:lang w:val="hr-HR"/>
        </w:rPr>
        <w:t>1</w:t>
      </w:r>
      <w:r w:rsidRPr="009677CC">
        <w:rPr>
          <w:bCs/>
          <w:sz w:val="22"/>
          <w:szCs w:val="22"/>
          <w:lang w:val="hr-HR"/>
        </w:rPr>
        <w:t>. godine priložene su</w:t>
      </w:r>
      <w:r w:rsidR="008469F6" w:rsidRPr="009677CC">
        <w:rPr>
          <w:bCs/>
          <w:sz w:val="22"/>
          <w:szCs w:val="22"/>
          <w:lang w:val="hr-HR"/>
        </w:rPr>
        <w:t xml:space="preserve"> II.</w:t>
      </w:r>
      <w:r w:rsidRPr="009677CC">
        <w:rPr>
          <w:bCs/>
          <w:sz w:val="22"/>
          <w:szCs w:val="22"/>
          <w:lang w:val="hr-HR"/>
        </w:rPr>
        <w:t xml:space="preserve"> Izmjene i dopune Plana razvojnih programa za 202</w:t>
      </w:r>
      <w:r w:rsidR="001B5411" w:rsidRPr="009677CC">
        <w:rPr>
          <w:bCs/>
          <w:sz w:val="22"/>
          <w:szCs w:val="22"/>
          <w:lang w:val="hr-HR"/>
        </w:rPr>
        <w:t>1</w:t>
      </w:r>
      <w:r w:rsidRPr="009677CC">
        <w:rPr>
          <w:bCs/>
          <w:sz w:val="22"/>
          <w:szCs w:val="22"/>
          <w:lang w:val="hr-HR"/>
        </w:rPr>
        <w:t>. godinu.</w:t>
      </w:r>
    </w:p>
    <w:p w14:paraId="6AFF9E0E" w14:textId="77777777" w:rsidR="00F84343" w:rsidRPr="009677CC" w:rsidRDefault="00F84343" w:rsidP="006B2459">
      <w:pPr>
        <w:jc w:val="both"/>
        <w:rPr>
          <w:bCs/>
          <w:sz w:val="22"/>
          <w:szCs w:val="22"/>
          <w:lang w:val="hr-HR"/>
        </w:rPr>
      </w:pPr>
    </w:p>
    <w:p w14:paraId="1386377F" w14:textId="0AE9BD84" w:rsidR="00C44C94" w:rsidRPr="009677CC" w:rsidRDefault="00F84343" w:rsidP="006B2459">
      <w:pPr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Plan i</w:t>
      </w:r>
      <w:r w:rsidR="00566F38" w:rsidRPr="009677CC">
        <w:rPr>
          <w:bCs/>
          <w:sz w:val="22"/>
          <w:szCs w:val="22"/>
          <w:lang w:val="hr-HR"/>
        </w:rPr>
        <w:t xml:space="preserve"> promjena </w:t>
      </w:r>
      <w:r w:rsidRPr="009677CC">
        <w:rPr>
          <w:bCs/>
          <w:sz w:val="22"/>
          <w:szCs w:val="22"/>
          <w:lang w:val="hr-HR"/>
        </w:rPr>
        <w:t>prihoda poslovanja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56"/>
        <w:gridCol w:w="3025"/>
        <w:gridCol w:w="1592"/>
        <w:gridCol w:w="1681"/>
        <w:gridCol w:w="993"/>
        <w:gridCol w:w="1692"/>
      </w:tblGrid>
      <w:tr w:rsidR="009677CC" w:rsidRPr="009677CC" w14:paraId="14F39C4D" w14:textId="77777777" w:rsidTr="009677CC">
        <w:trPr>
          <w:trHeight w:val="300"/>
          <w:jc w:val="center"/>
        </w:trPr>
        <w:tc>
          <w:tcPr>
            <w:tcW w:w="656" w:type="dxa"/>
          </w:tcPr>
          <w:p w14:paraId="3BB1D169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3025" w:type="dxa"/>
          </w:tcPr>
          <w:p w14:paraId="2FBB8D66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592" w:type="dxa"/>
          </w:tcPr>
          <w:p w14:paraId="492C5D3E" w14:textId="310C6C0D" w:rsidR="00412577" w:rsidRPr="009677CC" w:rsidRDefault="00412577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681" w:type="dxa"/>
          </w:tcPr>
          <w:p w14:paraId="4601EF89" w14:textId="4499FF45" w:rsidR="00412577" w:rsidRPr="009677CC" w:rsidRDefault="00412577" w:rsidP="006B2459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993" w:type="dxa"/>
          </w:tcPr>
          <w:p w14:paraId="534F36B5" w14:textId="2AD34A87" w:rsidR="00412577" w:rsidRPr="009677CC" w:rsidRDefault="000C65FC" w:rsidP="006B2459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</w:tcPr>
          <w:p w14:paraId="20F292BA" w14:textId="346C4B7F" w:rsidR="00412577" w:rsidRPr="009677CC" w:rsidRDefault="00412577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7141CC7C" w14:textId="77777777" w:rsidTr="009677CC">
        <w:trPr>
          <w:trHeight w:val="300"/>
          <w:jc w:val="center"/>
        </w:trPr>
        <w:tc>
          <w:tcPr>
            <w:tcW w:w="656" w:type="dxa"/>
          </w:tcPr>
          <w:p w14:paraId="63887789" w14:textId="044E996D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</w:t>
            </w:r>
          </w:p>
        </w:tc>
        <w:tc>
          <w:tcPr>
            <w:tcW w:w="3025" w:type="dxa"/>
          </w:tcPr>
          <w:p w14:paraId="055EAF0B" w14:textId="56609F1F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poslovanja</w:t>
            </w:r>
          </w:p>
        </w:tc>
        <w:tc>
          <w:tcPr>
            <w:tcW w:w="1592" w:type="dxa"/>
          </w:tcPr>
          <w:p w14:paraId="1C6DFE88" w14:textId="73D61858" w:rsidR="00412577" w:rsidRPr="009677CC" w:rsidRDefault="00412577" w:rsidP="008469F6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15</w:t>
            </w:r>
            <w:r w:rsidR="008469F6" w:rsidRPr="009677CC">
              <w:rPr>
                <w:bCs/>
                <w:sz w:val="22"/>
                <w:szCs w:val="22"/>
                <w:lang w:val="hr-HR"/>
              </w:rPr>
              <w:t>9</w:t>
            </w:r>
            <w:r w:rsidR="001F64AD" w:rsidRPr="009677CC">
              <w:rPr>
                <w:bCs/>
                <w:sz w:val="22"/>
                <w:szCs w:val="22"/>
                <w:lang w:val="hr-HR"/>
              </w:rPr>
              <w:t>.</w:t>
            </w:r>
            <w:r w:rsidR="008469F6" w:rsidRPr="009677CC">
              <w:rPr>
                <w:bCs/>
                <w:sz w:val="22"/>
                <w:szCs w:val="22"/>
                <w:lang w:val="hr-HR"/>
              </w:rPr>
              <w:t>549</w:t>
            </w:r>
            <w:r w:rsidR="001F64AD" w:rsidRPr="009677CC">
              <w:rPr>
                <w:bCs/>
                <w:sz w:val="22"/>
                <w:szCs w:val="22"/>
                <w:lang w:val="hr-HR"/>
              </w:rPr>
              <w:t>.</w:t>
            </w:r>
            <w:r w:rsidR="008469F6" w:rsidRPr="009677CC">
              <w:rPr>
                <w:bCs/>
                <w:sz w:val="22"/>
                <w:szCs w:val="22"/>
                <w:lang w:val="hr-HR"/>
              </w:rPr>
              <w:t>752</w:t>
            </w:r>
            <w:r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</w:tcPr>
          <w:p w14:paraId="42CA7076" w14:textId="2A7B0A73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-11.826.728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</w:tcPr>
          <w:p w14:paraId="6B493C86" w14:textId="3FD29C26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-</w:t>
            </w:r>
            <w:r w:rsidR="008F2C84" w:rsidRPr="009677CC">
              <w:rPr>
                <w:bCs/>
                <w:sz w:val="22"/>
                <w:szCs w:val="22"/>
                <w:lang w:val="hr-HR"/>
              </w:rPr>
              <w:t>7,41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</w:tcPr>
          <w:p w14:paraId="73A3E2D4" w14:textId="55BFB801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</w:t>
            </w:r>
            <w:r w:rsidR="002C0153" w:rsidRPr="009677CC">
              <w:rPr>
                <w:bCs/>
                <w:sz w:val="22"/>
                <w:szCs w:val="22"/>
                <w:lang w:val="hr-HR"/>
              </w:rPr>
              <w:t>47.723.024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677CC" w:rsidRPr="009677CC" w14:paraId="176CCFC8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38D5BC03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61</w:t>
            </w:r>
          </w:p>
        </w:tc>
        <w:tc>
          <w:tcPr>
            <w:tcW w:w="3025" w:type="dxa"/>
            <w:hideMark/>
          </w:tcPr>
          <w:p w14:paraId="7A9A963B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poreza</w:t>
            </w:r>
          </w:p>
        </w:tc>
        <w:tc>
          <w:tcPr>
            <w:tcW w:w="1592" w:type="dxa"/>
            <w:hideMark/>
          </w:tcPr>
          <w:p w14:paraId="1782472D" w14:textId="2AA4752A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43.311.500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7BF158FE" w14:textId="480FD95E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3" w:type="dxa"/>
            <w:hideMark/>
          </w:tcPr>
          <w:p w14:paraId="74F00BB2" w14:textId="0B0009F0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hideMark/>
          </w:tcPr>
          <w:p w14:paraId="37FD9C95" w14:textId="77777777" w:rsidR="00412577" w:rsidRPr="009677CC" w:rsidRDefault="00412577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43.311.500,00</w:t>
            </w:r>
          </w:p>
        </w:tc>
      </w:tr>
      <w:tr w:rsidR="009677CC" w:rsidRPr="009677CC" w14:paraId="39C8BDF3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4E77DE23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63</w:t>
            </w:r>
          </w:p>
        </w:tc>
        <w:tc>
          <w:tcPr>
            <w:tcW w:w="3025" w:type="dxa"/>
            <w:hideMark/>
          </w:tcPr>
          <w:p w14:paraId="6791B88F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Pomoći iz inozemstva i od subjekata unutar općeg proračuna</w:t>
            </w:r>
          </w:p>
        </w:tc>
        <w:tc>
          <w:tcPr>
            <w:tcW w:w="1592" w:type="dxa"/>
            <w:hideMark/>
          </w:tcPr>
          <w:p w14:paraId="5C62299A" w14:textId="6B1C296F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94.887.995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3CE2E91D" w14:textId="374D0B5F" w:rsidR="00412577" w:rsidRPr="009677CC" w:rsidRDefault="001F64A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-11.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952.153</w:t>
            </w:r>
            <w:r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  <w:hideMark/>
          </w:tcPr>
          <w:p w14:paraId="6815D426" w14:textId="4681B81C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-12,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60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vAlign w:val="center"/>
            <w:hideMark/>
          </w:tcPr>
          <w:p w14:paraId="2878B51C" w14:textId="47A05198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82.9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35.842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677CC" w:rsidRPr="009677CC" w14:paraId="6D649053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2A8A102F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64</w:t>
            </w:r>
          </w:p>
        </w:tc>
        <w:tc>
          <w:tcPr>
            <w:tcW w:w="3025" w:type="dxa"/>
            <w:hideMark/>
          </w:tcPr>
          <w:p w14:paraId="0D9B9C57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imovine</w:t>
            </w:r>
          </w:p>
        </w:tc>
        <w:tc>
          <w:tcPr>
            <w:tcW w:w="1592" w:type="dxa"/>
            <w:hideMark/>
          </w:tcPr>
          <w:p w14:paraId="25C9711A" w14:textId="3C1A1BE4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2.546.730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3C04AE77" w14:textId="0279055E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35.000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  <w:hideMark/>
          </w:tcPr>
          <w:p w14:paraId="1AA5D1AA" w14:textId="6641E3CF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1,37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hideMark/>
          </w:tcPr>
          <w:p w14:paraId="666936B4" w14:textId="76A64806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2.581.730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677CC" w:rsidRPr="009677CC" w14:paraId="3BE42D73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674563BF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65</w:t>
            </w:r>
          </w:p>
        </w:tc>
        <w:tc>
          <w:tcPr>
            <w:tcW w:w="3025" w:type="dxa"/>
            <w:hideMark/>
          </w:tcPr>
          <w:p w14:paraId="6C108F05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1592" w:type="dxa"/>
            <w:hideMark/>
          </w:tcPr>
          <w:p w14:paraId="524B9D97" w14:textId="0884F136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16.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394.540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39E97D8D" w14:textId="35B9B404" w:rsidR="00412577" w:rsidRPr="009677CC" w:rsidRDefault="0032160D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52.895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  <w:hideMark/>
          </w:tcPr>
          <w:p w14:paraId="4D825FF1" w14:textId="2D53DB7A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32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hideMark/>
          </w:tcPr>
          <w:p w14:paraId="1DA7729A" w14:textId="68757AC4" w:rsidR="00412577" w:rsidRPr="009677CC" w:rsidRDefault="00412577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16.</w:t>
            </w:r>
            <w:r w:rsidR="00FC4725" w:rsidRPr="009677CC">
              <w:rPr>
                <w:bCs/>
                <w:sz w:val="22"/>
                <w:szCs w:val="22"/>
                <w:lang w:val="hr-HR"/>
              </w:rPr>
              <w:t>4</w:t>
            </w:r>
            <w:r w:rsidR="0032160D" w:rsidRPr="009677CC">
              <w:rPr>
                <w:bCs/>
                <w:sz w:val="22"/>
                <w:szCs w:val="22"/>
                <w:lang w:val="hr-HR"/>
              </w:rPr>
              <w:t>47.435</w:t>
            </w:r>
            <w:r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677CC" w:rsidRPr="009677CC" w14:paraId="2D2B3E19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0B4E14FF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66</w:t>
            </w:r>
          </w:p>
        </w:tc>
        <w:tc>
          <w:tcPr>
            <w:tcW w:w="3025" w:type="dxa"/>
            <w:hideMark/>
          </w:tcPr>
          <w:p w14:paraId="4D883DD9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1592" w:type="dxa"/>
            <w:hideMark/>
          </w:tcPr>
          <w:p w14:paraId="7EB9850C" w14:textId="697D4201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2.047.762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2E3207AF" w14:textId="6257DE65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31.530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  <w:hideMark/>
          </w:tcPr>
          <w:p w14:paraId="505D94D2" w14:textId="47749403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1,54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hideMark/>
          </w:tcPr>
          <w:p w14:paraId="31232ABC" w14:textId="43AD94A4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2.079.292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  <w:tr w:rsidR="009677CC" w:rsidRPr="009677CC" w14:paraId="683F78AA" w14:textId="77777777" w:rsidTr="009677CC">
        <w:trPr>
          <w:trHeight w:val="300"/>
          <w:jc w:val="center"/>
        </w:trPr>
        <w:tc>
          <w:tcPr>
            <w:tcW w:w="656" w:type="dxa"/>
            <w:hideMark/>
          </w:tcPr>
          <w:p w14:paraId="775E1833" w14:textId="77777777" w:rsidR="00412577" w:rsidRPr="009677CC" w:rsidRDefault="00412577" w:rsidP="006B2459">
            <w:pPr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68</w:t>
            </w:r>
          </w:p>
        </w:tc>
        <w:tc>
          <w:tcPr>
            <w:tcW w:w="3025" w:type="dxa"/>
            <w:hideMark/>
          </w:tcPr>
          <w:p w14:paraId="6FD350BD" w14:textId="77777777" w:rsidR="00412577" w:rsidRPr="009677CC" w:rsidRDefault="00412577" w:rsidP="009677CC">
            <w:pPr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Kazne, upravne mjere i ostali prihodi</w:t>
            </w:r>
          </w:p>
        </w:tc>
        <w:tc>
          <w:tcPr>
            <w:tcW w:w="1592" w:type="dxa"/>
            <w:hideMark/>
          </w:tcPr>
          <w:p w14:paraId="18CD5860" w14:textId="5FBC327B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361.225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681" w:type="dxa"/>
            <w:hideMark/>
          </w:tcPr>
          <w:p w14:paraId="18C41C24" w14:textId="2546977E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6.000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3" w:type="dxa"/>
            <w:hideMark/>
          </w:tcPr>
          <w:p w14:paraId="36784C92" w14:textId="5B716BA3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1,66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692" w:type="dxa"/>
            <w:hideMark/>
          </w:tcPr>
          <w:p w14:paraId="401E5F6C" w14:textId="0657D312" w:rsidR="00412577" w:rsidRPr="009677CC" w:rsidRDefault="00FC4725" w:rsidP="006B2459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367.225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</w:tr>
    </w:tbl>
    <w:p w14:paraId="1F0BCC32" w14:textId="77777777" w:rsidR="00C44C94" w:rsidRPr="009677CC" w:rsidRDefault="00C44C94" w:rsidP="006B2459">
      <w:pPr>
        <w:jc w:val="both"/>
        <w:rPr>
          <w:bCs/>
          <w:sz w:val="22"/>
          <w:szCs w:val="22"/>
          <w:lang w:val="hr-HR"/>
        </w:rPr>
      </w:pPr>
    </w:p>
    <w:p w14:paraId="4203E582" w14:textId="6C6C0F6C" w:rsidR="00AA0F8E" w:rsidRPr="009677CC" w:rsidRDefault="00AA0F8E" w:rsidP="006B2459">
      <w:pPr>
        <w:ind w:firstLine="36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Prihodi poslovanja </w:t>
      </w:r>
      <w:r w:rsidR="00FC4725" w:rsidRPr="009677CC">
        <w:rPr>
          <w:bCs/>
          <w:sz w:val="22"/>
          <w:szCs w:val="22"/>
          <w:lang w:val="hr-HR"/>
        </w:rPr>
        <w:t>manji</w:t>
      </w:r>
      <w:r w:rsidR="00E628CF" w:rsidRPr="009677CC">
        <w:rPr>
          <w:bCs/>
          <w:sz w:val="22"/>
          <w:szCs w:val="22"/>
          <w:lang w:val="hr-HR"/>
        </w:rPr>
        <w:t xml:space="preserve"> su</w:t>
      </w:r>
      <w:r w:rsidRPr="009677CC">
        <w:rPr>
          <w:bCs/>
          <w:sz w:val="22"/>
          <w:szCs w:val="22"/>
          <w:lang w:val="hr-HR"/>
        </w:rPr>
        <w:t xml:space="preserve"> za </w:t>
      </w:r>
      <w:r w:rsidR="00FC4725" w:rsidRPr="009677CC">
        <w:rPr>
          <w:bCs/>
          <w:sz w:val="22"/>
          <w:szCs w:val="22"/>
          <w:lang w:val="hr-HR"/>
        </w:rPr>
        <w:t>7,41</w:t>
      </w:r>
      <w:r w:rsidR="00E628CF" w:rsidRPr="009677CC">
        <w:rPr>
          <w:bCs/>
          <w:sz w:val="22"/>
          <w:szCs w:val="22"/>
          <w:lang w:val="hr-HR"/>
        </w:rPr>
        <w:t>%</w:t>
      </w:r>
      <w:r w:rsidRPr="009677CC">
        <w:rPr>
          <w:bCs/>
          <w:sz w:val="22"/>
          <w:szCs w:val="22"/>
          <w:lang w:val="hr-HR"/>
        </w:rPr>
        <w:t xml:space="preserve">, odnosno za </w:t>
      </w:r>
      <w:r w:rsidR="002612AF" w:rsidRPr="009677CC">
        <w:rPr>
          <w:bCs/>
          <w:sz w:val="22"/>
          <w:szCs w:val="22"/>
          <w:lang w:val="hr-HR"/>
        </w:rPr>
        <w:t>11.826.728</w:t>
      </w:r>
      <w:r w:rsidRPr="009677CC">
        <w:rPr>
          <w:bCs/>
          <w:sz w:val="22"/>
          <w:szCs w:val="22"/>
          <w:lang w:val="hr-HR"/>
        </w:rPr>
        <w:t xml:space="preserve">,00 kn, u odnosu na planirane te sada iznose </w:t>
      </w:r>
      <w:r w:rsidR="002612AF" w:rsidRPr="009677CC">
        <w:rPr>
          <w:bCs/>
          <w:sz w:val="22"/>
          <w:szCs w:val="22"/>
          <w:lang w:val="hr-HR"/>
        </w:rPr>
        <w:t>147.723.024</w:t>
      </w:r>
      <w:r w:rsidR="00E628CF" w:rsidRPr="009677CC">
        <w:rPr>
          <w:bCs/>
          <w:sz w:val="22"/>
          <w:szCs w:val="22"/>
          <w:lang w:val="hr-HR"/>
        </w:rPr>
        <w:t>,</w:t>
      </w:r>
      <w:r w:rsidRPr="009677CC">
        <w:rPr>
          <w:bCs/>
          <w:sz w:val="22"/>
          <w:szCs w:val="22"/>
          <w:lang w:val="hr-HR"/>
        </w:rPr>
        <w:t xml:space="preserve">00 kn. </w:t>
      </w:r>
      <w:r w:rsidR="002612AF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prihoda poslovanja odnosi se na:</w:t>
      </w:r>
    </w:p>
    <w:p w14:paraId="5260A117" w14:textId="276C4723" w:rsidR="007C3F42" w:rsidRPr="009677CC" w:rsidRDefault="002612AF" w:rsidP="006B2459">
      <w:pPr>
        <w:numPr>
          <w:ilvl w:val="0"/>
          <w:numId w:val="35"/>
        </w:numPr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pomoći iz inozemstva i od subjekata unutar općeg proračuna za</w:t>
      </w:r>
      <w:r w:rsidR="00E628CF" w:rsidRPr="009677CC">
        <w:rPr>
          <w:bCs/>
          <w:sz w:val="22"/>
          <w:szCs w:val="22"/>
          <w:lang w:val="hr-HR"/>
        </w:rPr>
        <w:t xml:space="preserve"> </w:t>
      </w:r>
      <w:r w:rsidRPr="009677CC">
        <w:rPr>
          <w:bCs/>
          <w:sz w:val="22"/>
          <w:szCs w:val="22"/>
          <w:lang w:val="hr-HR"/>
        </w:rPr>
        <w:t>11.</w:t>
      </w:r>
      <w:r w:rsidR="0032160D" w:rsidRPr="009677CC">
        <w:rPr>
          <w:bCs/>
          <w:sz w:val="22"/>
          <w:szCs w:val="22"/>
          <w:lang w:val="hr-HR"/>
        </w:rPr>
        <w:t>952.153</w:t>
      </w:r>
      <w:r w:rsidR="00E628CF" w:rsidRPr="009677CC">
        <w:rPr>
          <w:bCs/>
          <w:sz w:val="22"/>
          <w:szCs w:val="22"/>
          <w:lang w:val="hr-HR"/>
        </w:rPr>
        <w:t xml:space="preserve">,00 kn, odnosno za </w:t>
      </w:r>
      <w:r w:rsidRPr="009677CC">
        <w:rPr>
          <w:bCs/>
          <w:sz w:val="22"/>
          <w:szCs w:val="22"/>
          <w:lang w:val="hr-HR"/>
        </w:rPr>
        <w:t>12,55</w:t>
      </w:r>
      <w:r w:rsidR="00AA0F8E" w:rsidRPr="009677CC">
        <w:rPr>
          <w:bCs/>
          <w:sz w:val="22"/>
          <w:szCs w:val="22"/>
          <w:lang w:val="hr-HR"/>
        </w:rPr>
        <w:t xml:space="preserve"> % </w:t>
      </w:r>
      <w:r w:rsidR="00E628CF" w:rsidRPr="009677CC">
        <w:rPr>
          <w:bCs/>
          <w:sz w:val="22"/>
          <w:szCs w:val="22"/>
          <w:lang w:val="hr-HR"/>
        </w:rPr>
        <w:t xml:space="preserve">kroz slijedeće: </w:t>
      </w:r>
    </w:p>
    <w:p w14:paraId="595E998F" w14:textId="5465478C" w:rsidR="007C3F42" w:rsidRPr="009677CC" w:rsidRDefault="007C3F42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5944C3" w:rsidRPr="009677CC">
        <w:rPr>
          <w:bCs/>
          <w:sz w:val="22"/>
          <w:szCs w:val="22"/>
          <w:lang w:val="hr-HR"/>
        </w:rPr>
        <w:t>povećanje</w:t>
      </w:r>
      <w:r w:rsidR="00AA0F8E" w:rsidRPr="009677CC">
        <w:rPr>
          <w:bCs/>
          <w:sz w:val="22"/>
          <w:szCs w:val="22"/>
          <w:lang w:val="hr-HR"/>
        </w:rPr>
        <w:t xml:space="preserve"> pomoći od međunarodnih organizacija te institucija i tijela EU </w:t>
      </w:r>
      <w:r w:rsidR="00E628CF" w:rsidRPr="009677CC">
        <w:rPr>
          <w:bCs/>
          <w:sz w:val="22"/>
          <w:szCs w:val="22"/>
          <w:lang w:val="hr-HR"/>
        </w:rPr>
        <w:t xml:space="preserve">za </w:t>
      </w:r>
      <w:r w:rsidR="005944C3" w:rsidRPr="009677CC">
        <w:rPr>
          <w:bCs/>
          <w:sz w:val="22"/>
          <w:szCs w:val="22"/>
          <w:lang w:val="hr-HR"/>
        </w:rPr>
        <w:t>79.050</w:t>
      </w:r>
      <w:r w:rsidR="00E628CF" w:rsidRPr="009677CC">
        <w:rPr>
          <w:bCs/>
          <w:sz w:val="22"/>
          <w:szCs w:val="22"/>
          <w:lang w:val="hr-HR"/>
        </w:rPr>
        <w:t>,00 kn</w:t>
      </w:r>
      <w:r w:rsidR="00154EEA" w:rsidRPr="009677CC">
        <w:rPr>
          <w:bCs/>
          <w:sz w:val="22"/>
          <w:szCs w:val="22"/>
          <w:lang w:val="hr-HR"/>
        </w:rPr>
        <w:t xml:space="preserve"> i sada iznosi </w:t>
      </w:r>
      <w:r w:rsidR="005944C3" w:rsidRPr="009677CC">
        <w:rPr>
          <w:bCs/>
          <w:sz w:val="22"/>
          <w:szCs w:val="22"/>
          <w:lang w:val="hr-HR"/>
        </w:rPr>
        <w:t>218.816</w:t>
      </w:r>
      <w:r w:rsidR="00154EEA" w:rsidRPr="009677CC">
        <w:rPr>
          <w:bCs/>
          <w:sz w:val="22"/>
          <w:szCs w:val="22"/>
          <w:lang w:val="hr-HR"/>
        </w:rPr>
        <w:t>,00 kn</w:t>
      </w:r>
      <w:r w:rsidR="005944C3" w:rsidRPr="009677CC">
        <w:rPr>
          <w:bCs/>
          <w:sz w:val="22"/>
          <w:szCs w:val="22"/>
          <w:lang w:val="hr-HR"/>
        </w:rPr>
        <w:t xml:space="preserve">, a odnosi se na povećanje pomoći kod proračunskog korisnika OŠ </w:t>
      </w:r>
      <w:proofErr w:type="spellStart"/>
      <w:r w:rsidR="005944C3" w:rsidRPr="009677CC">
        <w:rPr>
          <w:bCs/>
          <w:sz w:val="22"/>
          <w:szCs w:val="22"/>
          <w:lang w:val="hr-HR"/>
        </w:rPr>
        <w:t>Dobriša</w:t>
      </w:r>
      <w:proofErr w:type="spellEnd"/>
      <w:r w:rsidR="005944C3" w:rsidRPr="009677CC">
        <w:rPr>
          <w:bCs/>
          <w:sz w:val="22"/>
          <w:szCs w:val="22"/>
          <w:lang w:val="hr-HR"/>
        </w:rPr>
        <w:t xml:space="preserve"> Cesarića u iznosu 114.500,00 kn i smanjenje pomoći kod proračunskog korisnika LORA </w:t>
      </w:r>
    </w:p>
    <w:p w14:paraId="662C4E81" w14:textId="155321F1" w:rsidR="00A451E4" w:rsidRPr="009677CC" w:rsidRDefault="00A451E4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CD43F5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pomoći proračunu iz drugih proračuna za </w:t>
      </w:r>
      <w:r w:rsidR="00CD43F5" w:rsidRPr="009677CC">
        <w:rPr>
          <w:bCs/>
          <w:sz w:val="22"/>
          <w:szCs w:val="22"/>
          <w:lang w:val="hr-HR"/>
        </w:rPr>
        <w:t>1.087.266</w:t>
      </w:r>
      <w:r w:rsidRPr="009677CC">
        <w:rPr>
          <w:bCs/>
          <w:sz w:val="22"/>
          <w:szCs w:val="22"/>
          <w:lang w:val="hr-HR"/>
        </w:rPr>
        <w:t>,00</w:t>
      </w:r>
      <w:r w:rsidR="00CD43F5" w:rsidRPr="009677CC">
        <w:rPr>
          <w:bCs/>
          <w:sz w:val="22"/>
          <w:szCs w:val="22"/>
          <w:lang w:val="hr-HR"/>
        </w:rPr>
        <w:t xml:space="preserve"> </w:t>
      </w:r>
      <w:r w:rsidRPr="009677CC">
        <w:rPr>
          <w:bCs/>
          <w:sz w:val="22"/>
          <w:szCs w:val="22"/>
          <w:lang w:val="hr-HR"/>
        </w:rPr>
        <w:t>kn i sada iznose 3</w:t>
      </w:r>
      <w:r w:rsidR="00CD43F5" w:rsidRPr="009677CC">
        <w:rPr>
          <w:bCs/>
          <w:sz w:val="22"/>
          <w:szCs w:val="22"/>
          <w:lang w:val="hr-HR"/>
        </w:rPr>
        <w:t>1.403.531</w:t>
      </w:r>
      <w:r w:rsidRPr="009677CC">
        <w:rPr>
          <w:bCs/>
          <w:sz w:val="22"/>
          <w:szCs w:val="22"/>
          <w:lang w:val="hr-HR"/>
        </w:rPr>
        <w:t xml:space="preserve">,00 kn. Ove pomoći se odnose na pomoć iz fiskalnog izravnanja koje nam dodjeljuje </w:t>
      </w:r>
      <w:r w:rsidRPr="009677CC">
        <w:rPr>
          <w:bCs/>
          <w:sz w:val="22"/>
          <w:szCs w:val="22"/>
          <w:lang w:val="hr-HR"/>
        </w:rPr>
        <w:lastRenderedPageBreak/>
        <w:t>Država u planiranom iznosu 16.48</w:t>
      </w:r>
      <w:r w:rsidR="00291FC9" w:rsidRPr="009677CC">
        <w:rPr>
          <w:bCs/>
          <w:sz w:val="22"/>
          <w:szCs w:val="22"/>
          <w:lang w:val="hr-HR"/>
        </w:rPr>
        <w:t>7.500</w:t>
      </w:r>
      <w:r w:rsidRPr="009677CC">
        <w:rPr>
          <w:bCs/>
          <w:sz w:val="22"/>
          <w:szCs w:val="22"/>
          <w:lang w:val="hr-HR"/>
        </w:rPr>
        <w:t xml:space="preserve">,00 kn i </w:t>
      </w:r>
      <w:r w:rsidR="006442BD" w:rsidRPr="009677CC">
        <w:rPr>
          <w:bCs/>
          <w:sz w:val="22"/>
          <w:szCs w:val="22"/>
          <w:lang w:val="hr-HR"/>
        </w:rPr>
        <w:t>14.915.301</w:t>
      </w:r>
      <w:r w:rsidRPr="009677CC">
        <w:rPr>
          <w:bCs/>
          <w:sz w:val="22"/>
          <w:szCs w:val="22"/>
          <w:lang w:val="hr-HR"/>
        </w:rPr>
        <w:t>,00 kn za različite tekuće i kapitalne projekte. Ovim rebalansom mijenjaju se slijedeći</w:t>
      </w:r>
      <w:r w:rsidR="00073EA9" w:rsidRPr="009677CC">
        <w:rPr>
          <w:bCs/>
          <w:sz w:val="22"/>
          <w:szCs w:val="22"/>
          <w:lang w:val="hr-HR"/>
        </w:rPr>
        <w:t xml:space="preserve"> značajniji</w:t>
      </w:r>
      <w:r w:rsidRPr="009677CC">
        <w:rPr>
          <w:bCs/>
          <w:sz w:val="22"/>
          <w:szCs w:val="22"/>
          <w:lang w:val="hr-HR"/>
        </w:rPr>
        <w:t xml:space="preserve"> prihodi:</w:t>
      </w:r>
      <w:r w:rsidR="00291FC9" w:rsidRPr="009677CC">
        <w:rPr>
          <w:bCs/>
          <w:sz w:val="22"/>
          <w:szCs w:val="22"/>
          <w:lang w:val="hr-HR"/>
        </w:rPr>
        <w:t xml:space="preserve"> Elementarna nepogoda – poplava i tuča -1.102.986,00 kn,</w:t>
      </w:r>
      <w:r w:rsidR="00073EA9" w:rsidRPr="009677CC">
        <w:rPr>
          <w:bCs/>
          <w:sz w:val="22"/>
          <w:szCs w:val="22"/>
          <w:lang w:val="hr-HR"/>
        </w:rPr>
        <w:t xml:space="preserve"> Petica za dvoje IV. faza -</w:t>
      </w:r>
      <w:r w:rsidR="00291FC9" w:rsidRPr="009677CC">
        <w:rPr>
          <w:bCs/>
          <w:sz w:val="22"/>
          <w:szCs w:val="22"/>
          <w:lang w:val="hr-HR"/>
        </w:rPr>
        <w:t>70.855</w:t>
      </w:r>
      <w:r w:rsidR="00073EA9" w:rsidRPr="009677CC">
        <w:rPr>
          <w:bCs/>
          <w:sz w:val="22"/>
          <w:szCs w:val="22"/>
          <w:lang w:val="hr-HR"/>
        </w:rPr>
        <w:t xml:space="preserve">,00 kn, uz povećanje prihoda </w:t>
      </w:r>
      <w:r w:rsidR="00291FC9" w:rsidRPr="009677CC">
        <w:rPr>
          <w:bCs/>
          <w:sz w:val="22"/>
          <w:szCs w:val="22"/>
          <w:lang w:val="hr-HR"/>
        </w:rPr>
        <w:t>za Petica za dvoje V. faza 85.845,00 kn.</w:t>
      </w:r>
    </w:p>
    <w:p w14:paraId="673212A9" w14:textId="1FABB2B8" w:rsidR="007C3F42" w:rsidRPr="009677CC" w:rsidRDefault="007C3F42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154EEA" w:rsidRPr="009677CC">
        <w:rPr>
          <w:bCs/>
          <w:sz w:val="22"/>
          <w:szCs w:val="22"/>
          <w:lang w:val="hr-HR"/>
        </w:rPr>
        <w:t xml:space="preserve">smanjenje </w:t>
      </w:r>
      <w:r w:rsidR="00E628CF" w:rsidRPr="009677CC">
        <w:rPr>
          <w:bCs/>
          <w:sz w:val="22"/>
          <w:szCs w:val="22"/>
          <w:lang w:val="hr-HR"/>
        </w:rPr>
        <w:t xml:space="preserve">pomoći od izvanproračunskih korisnika za </w:t>
      </w:r>
      <w:r w:rsidR="00B25E5C" w:rsidRPr="009677CC">
        <w:rPr>
          <w:bCs/>
          <w:sz w:val="22"/>
          <w:szCs w:val="22"/>
          <w:lang w:val="hr-HR"/>
        </w:rPr>
        <w:t>92.000,00</w:t>
      </w:r>
      <w:r w:rsidR="00E628CF" w:rsidRPr="009677CC">
        <w:rPr>
          <w:bCs/>
          <w:sz w:val="22"/>
          <w:szCs w:val="22"/>
          <w:lang w:val="hr-HR"/>
        </w:rPr>
        <w:t xml:space="preserve"> kn</w:t>
      </w:r>
      <w:r w:rsidR="00DD097E" w:rsidRPr="009677CC">
        <w:rPr>
          <w:bCs/>
          <w:sz w:val="22"/>
          <w:szCs w:val="22"/>
          <w:lang w:val="hr-HR"/>
        </w:rPr>
        <w:t xml:space="preserve"> i sada iznose </w:t>
      </w:r>
      <w:r w:rsidR="00B25E5C" w:rsidRPr="009677CC">
        <w:rPr>
          <w:bCs/>
          <w:sz w:val="22"/>
          <w:szCs w:val="22"/>
          <w:lang w:val="hr-HR"/>
        </w:rPr>
        <w:t>3.055.290</w:t>
      </w:r>
      <w:r w:rsidR="00DD097E" w:rsidRPr="009677CC">
        <w:rPr>
          <w:bCs/>
          <w:sz w:val="22"/>
          <w:szCs w:val="22"/>
          <w:lang w:val="hr-HR"/>
        </w:rPr>
        <w:t>,00 kn</w:t>
      </w:r>
      <w:r w:rsidR="00154EEA" w:rsidRPr="009677CC">
        <w:rPr>
          <w:bCs/>
          <w:sz w:val="22"/>
          <w:szCs w:val="22"/>
          <w:lang w:val="hr-HR"/>
        </w:rPr>
        <w:t>. Smanjenje se odnosi na s</w:t>
      </w:r>
      <w:r w:rsidR="00DD097E" w:rsidRPr="009677CC">
        <w:rPr>
          <w:bCs/>
          <w:sz w:val="22"/>
          <w:szCs w:val="22"/>
          <w:lang w:val="hr-HR"/>
        </w:rPr>
        <w:t>manjenje sredstava za nabavu spremnika za prikupljanje otpada</w:t>
      </w:r>
      <w:r w:rsidR="005944C3" w:rsidRPr="009677CC">
        <w:rPr>
          <w:bCs/>
          <w:sz w:val="22"/>
          <w:szCs w:val="22"/>
          <w:lang w:val="hr-HR"/>
        </w:rPr>
        <w:t>.</w:t>
      </w:r>
    </w:p>
    <w:p w14:paraId="4B097218" w14:textId="681B3751" w:rsidR="00B86213" w:rsidRPr="009677CC" w:rsidRDefault="00B86213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-povećanje pomoći proračunskim korisnicima  koji im nije nadležan za </w:t>
      </w:r>
      <w:r w:rsidR="00291FC9" w:rsidRPr="009677CC">
        <w:rPr>
          <w:bCs/>
          <w:sz w:val="22"/>
          <w:szCs w:val="22"/>
          <w:lang w:val="hr-HR"/>
        </w:rPr>
        <w:t>21.000</w:t>
      </w:r>
      <w:r w:rsidRPr="009677CC">
        <w:rPr>
          <w:bCs/>
          <w:sz w:val="22"/>
          <w:szCs w:val="22"/>
          <w:lang w:val="hr-HR"/>
        </w:rPr>
        <w:t>,00 kn i sada iznose 30.</w:t>
      </w:r>
      <w:r w:rsidR="00291FC9" w:rsidRPr="009677CC">
        <w:rPr>
          <w:bCs/>
          <w:sz w:val="22"/>
          <w:szCs w:val="22"/>
          <w:lang w:val="hr-HR"/>
        </w:rPr>
        <w:t>080.113</w:t>
      </w:r>
      <w:r w:rsidRPr="009677CC">
        <w:rPr>
          <w:bCs/>
          <w:sz w:val="22"/>
          <w:szCs w:val="22"/>
          <w:lang w:val="hr-HR"/>
        </w:rPr>
        <w:t xml:space="preserve">,00 kn. Povećanje se odnosi na više planirana sredstva kod sve tri osnovne škole Grada Požege za sredstva od nadležnog ministarstva u ukupnom iznosu </w:t>
      </w:r>
      <w:r w:rsidR="00A45AB1" w:rsidRPr="009677CC">
        <w:rPr>
          <w:bCs/>
          <w:sz w:val="22"/>
          <w:szCs w:val="22"/>
          <w:lang w:val="hr-HR"/>
        </w:rPr>
        <w:t>21.000</w:t>
      </w:r>
      <w:r w:rsidRPr="009677CC">
        <w:rPr>
          <w:bCs/>
          <w:sz w:val="22"/>
          <w:szCs w:val="22"/>
          <w:lang w:val="hr-HR"/>
        </w:rPr>
        <w:t>,00 kn</w:t>
      </w:r>
      <w:r w:rsidR="00A45AB1" w:rsidRPr="009677CC">
        <w:rPr>
          <w:bCs/>
          <w:sz w:val="22"/>
          <w:szCs w:val="22"/>
          <w:lang w:val="hr-HR"/>
        </w:rPr>
        <w:t>,</w:t>
      </w:r>
    </w:p>
    <w:p w14:paraId="7F4962CB" w14:textId="52A09157" w:rsidR="00992EB4" w:rsidRPr="009677CC" w:rsidRDefault="00DD097E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A451E4" w:rsidRPr="009677CC">
        <w:rPr>
          <w:bCs/>
          <w:sz w:val="22"/>
          <w:szCs w:val="22"/>
          <w:lang w:val="hr-HR"/>
        </w:rPr>
        <w:t xml:space="preserve">smanjenje </w:t>
      </w:r>
      <w:r w:rsidR="00B20C75" w:rsidRPr="009677CC">
        <w:rPr>
          <w:bCs/>
          <w:sz w:val="22"/>
          <w:szCs w:val="22"/>
          <w:lang w:val="hr-HR"/>
        </w:rPr>
        <w:t xml:space="preserve">pomoći temeljem prijenosa EU sredstava za </w:t>
      </w:r>
      <w:r w:rsidR="002612AF" w:rsidRPr="009677CC">
        <w:rPr>
          <w:bCs/>
          <w:sz w:val="22"/>
          <w:szCs w:val="22"/>
          <w:lang w:val="hr-HR"/>
        </w:rPr>
        <w:t>10.5</w:t>
      </w:r>
      <w:r w:rsidR="00992EB4" w:rsidRPr="009677CC">
        <w:rPr>
          <w:bCs/>
          <w:sz w:val="22"/>
          <w:szCs w:val="22"/>
          <w:lang w:val="hr-HR"/>
        </w:rPr>
        <w:t>33.</w:t>
      </w:r>
      <w:r w:rsidR="002612AF" w:rsidRPr="009677CC">
        <w:rPr>
          <w:bCs/>
          <w:sz w:val="22"/>
          <w:szCs w:val="22"/>
          <w:lang w:val="hr-HR"/>
        </w:rPr>
        <w:t>737</w:t>
      </w:r>
      <w:r w:rsidR="00B20C75" w:rsidRPr="009677CC">
        <w:rPr>
          <w:bCs/>
          <w:sz w:val="22"/>
          <w:szCs w:val="22"/>
          <w:lang w:val="hr-HR"/>
        </w:rPr>
        <w:t>,00 kn</w:t>
      </w:r>
      <w:r w:rsidR="00A451E4" w:rsidRPr="009677CC">
        <w:rPr>
          <w:bCs/>
          <w:sz w:val="22"/>
          <w:szCs w:val="22"/>
          <w:lang w:val="hr-HR"/>
        </w:rPr>
        <w:t xml:space="preserve"> i sada iznose </w:t>
      </w:r>
      <w:r w:rsidR="002612AF" w:rsidRPr="009677CC">
        <w:rPr>
          <w:bCs/>
          <w:sz w:val="22"/>
          <w:szCs w:val="22"/>
          <w:lang w:val="hr-HR"/>
        </w:rPr>
        <w:t>11.057.441</w:t>
      </w:r>
      <w:r w:rsidR="00A451E4" w:rsidRPr="009677CC">
        <w:rPr>
          <w:bCs/>
          <w:sz w:val="22"/>
          <w:szCs w:val="22"/>
          <w:lang w:val="hr-HR"/>
        </w:rPr>
        <w:t xml:space="preserve">,00 kn. Odnose se na niz projekata koje provodi Grad i proračunski korisnici, te se pomoći smanjuju za </w:t>
      </w:r>
      <w:r w:rsidR="00236151" w:rsidRPr="009677CC">
        <w:rPr>
          <w:bCs/>
          <w:sz w:val="22"/>
          <w:szCs w:val="22"/>
          <w:lang w:val="hr-HR"/>
        </w:rPr>
        <w:t>10.565.737</w:t>
      </w:r>
      <w:r w:rsidR="00A451E4" w:rsidRPr="009677CC">
        <w:rPr>
          <w:bCs/>
          <w:sz w:val="22"/>
          <w:szCs w:val="22"/>
          <w:lang w:val="hr-HR"/>
        </w:rPr>
        <w:t>,00 kn kod Grada</w:t>
      </w:r>
      <w:r w:rsidR="00992EB4" w:rsidRPr="009677CC">
        <w:rPr>
          <w:bCs/>
          <w:sz w:val="22"/>
          <w:szCs w:val="22"/>
          <w:lang w:val="hr-HR"/>
        </w:rPr>
        <w:t>, a povećavaju</w:t>
      </w:r>
      <w:r w:rsidR="00A451E4" w:rsidRPr="009677CC">
        <w:rPr>
          <w:bCs/>
          <w:sz w:val="22"/>
          <w:szCs w:val="22"/>
          <w:lang w:val="hr-HR"/>
        </w:rPr>
        <w:t xml:space="preserve"> za </w:t>
      </w:r>
      <w:r w:rsidR="00236151" w:rsidRPr="009677CC">
        <w:rPr>
          <w:bCs/>
          <w:sz w:val="22"/>
          <w:szCs w:val="22"/>
          <w:lang w:val="hr-HR"/>
        </w:rPr>
        <w:t>32</w:t>
      </w:r>
      <w:r w:rsidR="00A451E4" w:rsidRPr="009677CC">
        <w:rPr>
          <w:bCs/>
          <w:sz w:val="22"/>
          <w:szCs w:val="22"/>
          <w:lang w:val="hr-HR"/>
        </w:rPr>
        <w:t>.000,00 kn kod proračunskih korisnika.</w:t>
      </w:r>
      <w:r w:rsidR="00174AAB" w:rsidRPr="009677CC">
        <w:rPr>
          <w:bCs/>
          <w:sz w:val="22"/>
          <w:szCs w:val="22"/>
          <w:lang w:val="hr-HR"/>
        </w:rPr>
        <w:t xml:space="preserve"> Značajnije smanjenje pomoći </w:t>
      </w:r>
      <w:r w:rsidR="003811A5" w:rsidRPr="009677CC">
        <w:rPr>
          <w:bCs/>
          <w:sz w:val="22"/>
          <w:szCs w:val="22"/>
          <w:lang w:val="hr-HR"/>
        </w:rPr>
        <w:t xml:space="preserve">je </w:t>
      </w:r>
      <w:r w:rsidR="00174AAB" w:rsidRPr="009677CC">
        <w:rPr>
          <w:bCs/>
          <w:sz w:val="22"/>
          <w:szCs w:val="22"/>
          <w:lang w:val="hr-HR"/>
        </w:rPr>
        <w:t>za projekte: Požeške bolte za 8.433.547,00 kn, PUK 50 za 3</w:t>
      </w:r>
      <w:r w:rsidR="003811A5" w:rsidRPr="009677CC">
        <w:rPr>
          <w:bCs/>
          <w:sz w:val="22"/>
          <w:szCs w:val="22"/>
          <w:lang w:val="hr-HR"/>
        </w:rPr>
        <w:t>38</w:t>
      </w:r>
      <w:r w:rsidR="00174AAB" w:rsidRPr="009677CC">
        <w:rPr>
          <w:bCs/>
          <w:sz w:val="22"/>
          <w:szCs w:val="22"/>
          <w:lang w:val="hr-HR"/>
        </w:rPr>
        <w:t>.500,00 kn, Petica za dvoje – IV. Faza</w:t>
      </w:r>
      <w:r w:rsidR="003811A5" w:rsidRPr="009677CC">
        <w:rPr>
          <w:bCs/>
          <w:sz w:val="22"/>
          <w:szCs w:val="22"/>
          <w:lang w:val="hr-HR"/>
        </w:rPr>
        <w:t xml:space="preserve"> za</w:t>
      </w:r>
      <w:r w:rsidR="00174AAB" w:rsidRPr="009677CC">
        <w:rPr>
          <w:bCs/>
          <w:sz w:val="22"/>
          <w:szCs w:val="22"/>
          <w:lang w:val="hr-HR"/>
        </w:rPr>
        <w:t xml:space="preserve"> 400.845,00 kn, </w:t>
      </w:r>
      <w:r w:rsidR="003811A5" w:rsidRPr="009677CC">
        <w:rPr>
          <w:bCs/>
          <w:sz w:val="22"/>
          <w:szCs w:val="22"/>
          <w:lang w:val="hr-HR"/>
        </w:rPr>
        <w:t xml:space="preserve">Požeški </w:t>
      </w:r>
      <w:proofErr w:type="spellStart"/>
      <w:r w:rsidR="003811A5" w:rsidRPr="009677CC">
        <w:rPr>
          <w:bCs/>
          <w:sz w:val="22"/>
          <w:szCs w:val="22"/>
          <w:lang w:val="hr-HR"/>
        </w:rPr>
        <w:t>limači</w:t>
      </w:r>
      <w:proofErr w:type="spellEnd"/>
      <w:r w:rsidR="003811A5" w:rsidRPr="009677CC">
        <w:rPr>
          <w:bCs/>
          <w:sz w:val="22"/>
          <w:szCs w:val="22"/>
          <w:lang w:val="hr-HR"/>
        </w:rPr>
        <w:t xml:space="preserve"> – II. faza  za 362.100,00 kn, Naša školska užina -  III. faza za 513.000,00 kn i drugi.</w:t>
      </w:r>
    </w:p>
    <w:p w14:paraId="6486ADAF" w14:textId="414AB11F" w:rsidR="00A56A6D" w:rsidRPr="009677CC" w:rsidRDefault="00B20C75" w:rsidP="006B2459">
      <w:pPr>
        <w:ind w:left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 </w:t>
      </w:r>
      <w:r w:rsidR="00A451E4" w:rsidRPr="009677CC">
        <w:rPr>
          <w:bCs/>
          <w:sz w:val="22"/>
          <w:szCs w:val="22"/>
          <w:lang w:val="hr-HR"/>
        </w:rPr>
        <w:t>-</w:t>
      </w:r>
      <w:r w:rsidR="00E628CF" w:rsidRPr="009677CC">
        <w:rPr>
          <w:bCs/>
          <w:sz w:val="22"/>
          <w:szCs w:val="22"/>
          <w:lang w:val="hr-HR"/>
        </w:rPr>
        <w:t>prijenos</w:t>
      </w:r>
      <w:r w:rsidR="00992EB4" w:rsidRPr="009677CC">
        <w:rPr>
          <w:bCs/>
          <w:sz w:val="22"/>
          <w:szCs w:val="22"/>
          <w:lang w:val="hr-HR"/>
        </w:rPr>
        <w:t>i</w:t>
      </w:r>
      <w:r w:rsidRPr="009677CC">
        <w:rPr>
          <w:bCs/>
          <w:sz w:val="22"/>
          <w:szCs w:val="22"/>
          <w:lang w:val="hr-HR"/>
        </w:rPr>
        <w:t xml:space="preserve"> između proračunskih korisnika istog proračuna </w:t>
      </w:r>
      <w:r w:rsidR="00236151" w:rsidRPr="009677CC">
        <w:rPr>
          <w:bCs/>
          <w:sz w:val="22"/>
          <w:szCs w:val="22"/>
          <w:lang w:val="hr-HR"/>
        </w:rPr>
        <w:t>smanjuju</w:t>
      </w:r>
      <w:r w:rsidR="00A56A6D" w:rsidRPr="009677CC">
        <w:rPr>
          <w:bCs/>
          <w:sz w:val="22"/>
          <w:szCs w:val="22"/>
          <w:lang w:val="hr-HR"/>
        </w:rPr>
        <w:t xml:space="preserve"> se </w:t>
      </w:r>
      <w:r w:rsidRPr="009677CC">
        <w:rPr>
          <w:bCs/>
          <w:sz w:val="22"/>
          <w:szCs w:val="22"/>
          <w:lang w:val="hr-HR"/>
        </w:rPr>
        <w:t xml:space="preserve">za </w:t>
      </w:r>
      <w:r w:rsidR="00C53E17" w:rsidRPr="009677CC">
        <w:rPr>
          <w:bCs/>
          <w:sz w:val="22"/>
          <w:szCs w:val="22"/>
          <w:lang w:val="hr-HR"/>
        </w:rPr>
        <w:t>339.200</w:t>
      </w:r>
      <w:r w:rsidRPr="009677CC">
        <w:rPr>
          <w:bCs/>
          <w:sz w:val="22"/>
          <w:szCs w:val="22"/>
          <w:lang w:val="hr-HR"/>
        </w:rPr>
        <w:t>,00 kn</w:t>
      </w:r>
      <w:r w:rsidR="00A56A6D" w:rsidRPr="009677CC">
        <w:rPr>
          <w:bCs/>
          <w:sz w:val="22"/>
          <w:szCs w:val="22"/>
          <w:lang w:val="hr-HR"/>
        </w:rPr>
        <w:t xml:space="preserve"> i sada iznose </w:t>
      </w:r>
      <w:r w:rsidR="00236151" w:rsidRPr="009677CC">
        <w:rPr>
          <w:bCs/>
          <w:sz w:val="22"/>
          <w:szCs w:val="22"/>
          <w:lang w:val="hr-HR"/>
        </w:rPr>
        <w:t>6</w:t>
      </w:r>
      <w:r w:rsidR="00C53E17" w:rsidRPr="009677CC">
        <w:rPr>
          <w:bCs/>
          <w:sz w:val="22"/>
          <w:szCs w:val="22"/>
          <w:lang w:val="hr-HR"/>
        </w:rPr>
        <w:t>06.553</w:t>
      </w:r>
      <w:r w:rsidR="00A56A6D" w:rsidRPr="009677CC">
        <w:rPr>
          <w:bCs/>
          <w:sz w:val="22"/>
          <w:szCs w:val="22"/>
          <w:lang w:val="hr-HR"/>
        </w:rPr>
        <w:t xml:space="preserve">,00 kn, a odnose se na  prijenos sredstava istog proračuna. Navedeno koriste proračunski korisnici i Grad za projekte i međusobne prijenose u partnerskom provođenju projekata ( Požeške bolte, </w:t>
      </w:r>
      <w:r w:rsidR="00236151" w:rsidRPr="009677CC">
        <w:rPr>
          <w:bCs/>
          <w:sz w:val="22"/>
          <w:szCs w:val="22"/>
          <w:lang w:val="hr-HR"/>
        </w:rPr>
        <w:t xml:space="preserve">Požeški </w:t>
      </w:r>
      <w:proofErr w:type="spellStart"/>
      <w:r w:rsidR="00236151" w:rsidRPr="009677CC">
        <w:rPr>
          <w:bCs/>
          <w:sz w:val="22"/>
          <w:szCs w:val="22"/>
          <w:lang w:val="hr-HR"/>
        </w:rPr>
        <w:t>limači</w:t>
      </w:r>
      <w:proofErr w:type="spellEnd"/>
      <w:r w:rsidR="00236151" w:rsidRPr="009677CC">
        <w:rPr>
          <w:bCs/>
          <w:sz w:val="22"/>
          <w:szCs w:val="22"/>
          <w:lang w:val="hr-HR"/>
        </w:rPr>
        <w:t>,</w:t>
      </w:r>
      <w:r w:rsidR="00A56A6D" w:rsidRPr="009677CC">
        <w:rPr>
          <w:bCs/>
          <w:sz w:val="22"/>
          <w:szCs w:val="22"/>
          <w:lang w:val="hr-HR"/>
        </w:rPr>
        <w:t xml:space="preserve"> Naša školska užina i dr.).</w:t>
      </w:r>
    </w:p>
    <w:p w14:paraId="4209F921" w14:textId="7DD5F6AD" w:rsidR="00AA0F8E" w:rsidRPr="009677CC" w:rsidRDefault="005E3692" w:rsidP="006B2459">
      <w:pPr>
        <w:numPr>
          <w:ilvl w:val="0"/>
          <w:numId w:val="35"/>
        </w:numPr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povećanje</w:t>
      </w:r>
      <w:r w:rsidR="00AA0F8E" w:rsidRPr="009677CC">
        <w:rPr>
          <w:bCs/>
          <w:sz w:val="22"/>
          <w:szCs w:val="22"/>
          <w:lang w:val="hr-HR"/>
        </w:rPr>
        <w:t xml:space="preserve"> prihoda od imovine za </w:t>
      </w:r>
      <w:r w:rsidR="002612AF" w:rsidRPr="009677CC">
        <w:rPr>
          <w:bCs/>
          <w:sz w:val="22"/>
          <w:szCs w:val="22"/>
          <w:lang w:val="hr-HR"/>
        </w:rPr>
        <w:t>35.000</w:t>
      </w:r>
      <w:r w:rsidRPr="009677CC">
        <w:rPr>
          <w:bCs/>
          <w:sz w:val="22"/>
          <w:szCs w:val="22"/>
          <w:lang w:val="hr-HR"/>
        </w:rPr>
        <w:t xml:space="preserve">,00 kn, odnosno za </w:t>
      </w:r>
      <w:r w:rsidR="002612AF" w:rsidRPr="009677CC">
        <w:rPr>
          <w:bCs/>
          <w:sz w:val="22"/>
          <w:szCs w:val="22"/>
          <w:lang w:val="hr-HR"/>
        </w:rPr>
        <w:t>1,37</w:t>
      </w:r>
      <w:r w:rsidR="00AA0F8E" w:rsidRPr="009677CC">
        <w:rPr>
          <w:bCs/>
          <w:sz w:val="22"/>
          <w:szCs w:val="22"/>
          <w:lang w:val="hr-HR"/>
        </w:rPr>
        <w:t>%</w:t>
      </w:r>
      <w:r w:rsidRPr="009677CC">
        <w:rPr>
          <w:bCs/>
          <w:sz w:val="22"/>
          <w:szCs w:val="22"/>
          <w:lang w:val="hr-HR"/>
        </w:rPr>
        <w:t>, temeljem procjene ostvarenja prihoda do kraja godine</w:t>
      </w:r>
      <w:r w:rsidR="00AA0F8E" w:rsidRPr="009677CC">
        <w:rPr>
          <w:bCs/>
          <w:sz w:val="22"/>
          <w:szCs w:val="22"/>
          <w:lang w:val="hr-HR"/>
        </w:rPr>
        <w:t xml:space="preserve"> </w:t>
      </w:r>
      <w:r w:rsidR="009E4BEE" w:rsidRPr="009677CC">
        <w:rPr>
          <w:bCs/>
          <w:sz w:val="22"/>
          <w:szCs w:val="22"/>
          <w:lang w:val="hr-HR"/>
        </w:rPr>
        <w:t>od iznajmljivanja imovine, stanova i poslovnih prostora, od koncesija i dr.</w:t>
      </w:r>
    </w:p>
    <w:p w14:paraId="13A750F1" w14:textId="4FAC3072" w:rsidR="00AA0F8E" w:rsidRPr="009677CC" w:rsidRDefault="005E3692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povećanje</w:t>
      </w:r>
      <w:r w:rsidR="00AA0F8E" w:rsidRPr="009677CC">
        <w:rPr>
          <w:bCs/>
          <w:sz w:val="22"/>
          <w:szCs w:val="22"/>
          <w:lang w:val="hr-HR"/>
        </w:rPr>
        <w:t xml:space="preserve"> prihoda od upravnih i administrativnih pristojbi, pristojbi po posebnim propisima i naknada za </w:t>
      </w:r>
      <w:r w:rsidR="0032160D" w:rsidRPr="009677CC">
        <w:rPr>
          <w:bCs/>
          <w:sz w:val="22"/>
          <w:szCs w:val="22"/>
          <w:lang w:val="hr-HR"/>
        </w:rPr>
        <w:t>52.895,</w:t>
      </w:r>
      <w:r w:rsidR="00D73822" w:rsidRPr="009677CC">
        <w:rPr>
          <w:bCs/>
          <w:sz w:val="22"/>
          <w:szCs w:val="22"/>
          <w:lang w:val="hr-HR"/>
        </w:rPr>
        <w:t xml:space="preserve">00 kn, odnosno za </w:t>
      </w:r>
      <w:r w:rsidR="00C218AE" w:rsidRPr="009677CC">
        <w:rPr>
          <w:bCs/>
          <w:sz w:val="22"/>
          <w:szCs w:val="22"/>
          <w:lang w:val="hr-HR"/>
        </w:rPr>
        <w:t>0,</w:t>
      </w:r>
      <w:r w:rsidR="0032160D" w:rsidRPr="009677CC">
        <w:rPr>
          <w:bCs/>
          <w:sz w:val="22"/>
          <w:szCs w:val="22"/>
          <w:lang w:val="hr-HR"/>
        </w:rPr>
        <w:t xml:space="preserve">32 </w:t>
      </w:r>
      <w:r w:rsidR="00D73822" w:rsidRPr="009677CC">
        <w:rPr>
          <w:bCs/>
          <w:sz w:val="22"/>
          <w:szCs w:val="22"/>
          <w:lang w:val="hr-HR"/>
        </w:rPr>
        <w:t>%</w:t>
      </w:r>
      <w:r w:rsidR="007E2E9B" w:rsidRPr="009677CC">
        <w:rPr>
          <w:bCs/>
          <w:sz w:val="22"/>
          <w:szCs w:val="22"/>
          <w:lang w:val="hr-HR"/>
        </w:rPr>
        <w:t>, kroz</w:t>
      </w:r>
      <w:r w:rsidR="006E57EC" w:rsidRPr="009677CC">
        <w:rPr>
          <w:bCs/>
          <w:sz w:val="22"/>
          <w:szCs w:val="22"/>
          <w:lang w:val="hr-HR"/>
        </w:rPr>
        <w:t xml:space="preserve"> </w:t>
      </w:r>
      <w:r w:rsidR="00C218AE" w:rsidRPr="009677CC">
        <w:rPr>
          <w:bCs/>
          <w:sz w:val="22"/>
          <w:szCs w:val="22"/>
          <w:lang w:val="hr-HR"/>
        </w:rPr>
        <w:t>povećanje</w:t>
      </w:r>
      <w:r w:rsidR="005E2491" w:rsidRPr="009677CC">
        <w:rPr>
          <w:bCs/>
          <w:sz w:val="22"/>
          <w:szCs w:val="22"/>
          <w:lang w:val="hr-HR"/>
        </w:rPr>
        <w:t xml:space="preserve"> </w:t>
      </w:r>
      <w:r w:rsidR="006E57EC" w:rsidRPr="009677CC">
        <w:rPr>
          <w:bCs/>
          <w:sz w:val="22"/>
          <w:szCs w:val="22"/>
          <w:lang w:val="hr-HR"/>
        </w:rPr>
        <w:t xml:space="preserve">planiranih </w:t>
      </w:r>
      <w:r w:rsidR="007E2E9B" w:rsidRPr="009677CC">
        <w:rPr>
          <w:bCs/>
          <w:sz w:val="22"/>
          <w:szCs w:val="22"/>
          <w:lang w:val="hr-HR"/>
        </w:rPr>
        <w:t xml:space="preserve">upravnih i administrativnih pristojbi </w:t>
      </w:r>
      <w:r w:rsidR="00C218AE" w:rsidRPr="009677CC">
        <w:rPr>
          <w:bCs/>
          <w:sz w:val="22"/>
          <w:szCs w:val="22"/>
          <w:lang w:val="hr-HR"/>
        </w:rPr>
        <w:t>i</w:t>
      </w:r>
      <w:r w:rsidR="007E2E9B" w:rsidRPr="009677CC">
        <w:rPr>
          <w:bCs/>
          <w:sz w:val="22"/>
          <w:szCs w:val="22"/>
          <w:lang w:val="hr-HR"/>
        </w:rPr>
        <w:t xml:space="preserve"> prihoda po posebnim propisima, </w:t>
      </w:r>
    </w:p>
    <w:p w14:paraId="4971A330" w14:textId="53B9F07E" w:rsidR="006E57EC" w:rsidRPr="009677CC" w:rsidRDefault="007E2E9B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povećanje</w:t>
      </w:r>
      <w:r w:rsidR="00AA0F8E" w:rsidRPr="009677CC">
        <w:rPr>
          <w:bCs/>
          <w:sz w:val="22"/>
          <w:szCs w:val="22"/>
          <w:lang w:val="hr-HR"/>
        </w:rPr>
        <w:t xml:space="preserve"> prihoda od prodaje proizvoda i robe te pruženih usluga i prihodi od donacija za </w:t>
      </w:r>
      <w:r w:rsidR="00C218AE" w:rsidRPr="009677CC">
        <w:rPr>
          <w:bCs/>
          <w:sz w:val="22"/>
          <w:szCs w:val="22"/>
          <w:lang w:val="hr-HR"/>
        </w:rPr>
        <w:t>31.530</w:t>
      </w:r>
      <w:r w:rsidR="006E57EC" w:rsidRPr="009677CC">
        <w:rPr>
          <w:bCs/>
          <w:sz w:val="22"/>
          <w:szCs w:val="22"/>
          <w:lang w:val="hr-HR"/>
        </w:rPr>
        <w:t xml:space="preserve">,00 kn, odnosno za </w:t>
      </w:r>
      <w:r w:rsidR="00C218AE" w:rsidRPr="009677CC">
        <w:rPr>
          <w:bCs/>
          <w:sz w:val="22"/>
          <w:szCs w:val="22"/>
          <w:lang w:val="hr-HR"/>
        </w:rPr>
        <w:t>1,54</w:t>
      </w:r>
      <w:r w:rsidR="00AA0F8E" w:rsidRPr="009677CC">
        <w:rPr>
          <w:bCs/>
          <w:sz w:val="22"/>
          <w:szCs w:val="22"/>
          <w:lang w:val="hr-HR"/>
        </w:rPr>
        <w:t xml:space="preserve"> %, </w:t>
      </w:r>
      <w:r w:rsidR="006E57EC" w:rsidRPr="009677CC">
        <w:rPr>
          <w:bCs/>
          <w:sz w:val="22"/>
          <w:szCs w:val="22"/>
          <w:lang w:val="hr-HR"/>
        </w:rPr>
        <w:t>odn</w:t>
      </w:r>
      <w:r w:rsidR="00AA0F8E" w:rsidRPr="009677CC">
        <w:rPr>
          <w:bCs/>
          <w:sz w:val="22"/>
          <w:szCs w:val="22"/>
          <w:lang w:val="hr-HR"/>
        </w:rPr>
        <w:t xml:space="preserve">osi se </w:t>
      </w:r>
      <w:r w:rsidR="006E57EC" w:rsidRPr="009677CC">
        <w:rPr>
          <w:bCs/>
          <w:sz w:val="22"/>
          <w:szCs w:val="22"/>
          <w:lang w:val="hr-HR"/>
        </w:rPr>
        <w:t>na planirane donacije</w:t>
      </w:r>
      <w:r w:rsidR="00E768E8" w:rsidRPr="009677CC">
        <w:rPr>
          <w:bCs/>
          <w:sz w:val="22"/>
          <w:szCs w:val="22"/>
          <w:lang w:val="hr-HR"/>
        </w:rPr>
        <w:t xml:space="preserve"> i prihode od pruženih usluga</w:t>
      </w:r>
      <w:r w:rsidR="006E57EC" w:rsidRPr="009677CC">
        <w:rPr>
          <w:bCs/>
          <w:sz w:val="22"/>
          <w:szCs w:val="22"/>
          <w:lang w:val="hr-HR"/>
        </w:rPr>
        <w:t xml:space="preserve"> kod proračunskih korisnika Grada Požege</w:t>
      </w:r>
      <w:r w:rsidR="006450D5" w:rsidRPr="009677CC">
        <w:rPr>
          <w:bCs/>
          <w:sz w:val="22"/>
          <w:szCs w:val="22"/>
          <w:lang w:val="hr-HR"/>
        </w:rPr>
        <w:t xml:space="preserve"> za programe</w:t>
      </w:r>
    </w:p>
    <w:p w14:paraId="650CA918" w14:textId="0F97DA32" w:rsidR="006450D5" w:rsidRPr="009677CC" w:rsidRDefault="005A07BE" w:rsidP="006B2459">
      <w:pPr>
        <w:numPr>
          <w:ilvl w:val="0"/>
          <w:numId w:val="28"/>
        </w:numPr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>povećanje</w:t>
      </w:r>
      <w:r w:rsidR="006E57EC" w:rsidRPr="009677CC">
        <w:rPr>
          <w:sz w:val="22"/>
          <w:szCs w:val="22"/>
          <w:lang w:val="hr-HR"/>
        </w:rPr>
        <w:t xml:space="preserve"> prihoda od kazni, upravnih mjera i ostalih prihoda za </w:t>
      </w:r>
      <w:r w:rsidRPr="009677CC">
        <w:rPr>
          <w:sz w:val="22"/>
          <w:szCs w:val="22"/>
          <w:lang w:val="hr-HR"/>
        </w:rPr>
        <w:t>6.000</w:t>
      </w:r>
      <w:r w:rsidR="006E57EC" w:rsidRPr="009677CC">
        <w:rPr>
          <w:sz w:val="22"/>
          <w:szCs w:val="22"/>
          <w:lang w:val="hr-HR"/>
        </w:rPr>
        <w:t xml:space="preserve">,00 kn, odnosno za </w:t>
      </w:r>
      <w:r w:rsidRPr="009677CC">
        <w:rPr>
          <w:sz w:val="22"/>
          <w:szCs w:val="22"/>
          <w:lang w:val="hr-HR"/>
        </w:rPr>
        <w:t>1,66</w:t>
      </w:r>
      <w:r w:rsidR="006E57EC" w:rsidRPr="009677CC">
        <w:rPr>
          <w:sz w:val="22"/>
          <w:szCs w:val="22"/>
          <w:lang w:val="hr-HR"/>
        </w:rPr>
        <w:t>%, temeljem procjene ostvarenja ostalih prihoda do kraja godine.</w:t>
      </w:r>
    </w:p>
    <w:p w14:paraId="4D0EDF12" w14:textId="77777777" w:rsidR="006450D5" w:rsidRPr="009677CC" w:rsidRDefault="006450D5" w:rsidP="006B2459">
      <w:pPr>
        <w:contextualSpacing/>
        <w:jc w:val="both"/>
        <w:rPr>
          <w:bCs/>
          <w:sz w:val="22"/>
          <w:szCs w:val="22"/>
          <w:lang w:val="hr-HR"/>
        </w:rPr>
      </w:pPr>
    </w:p>
    <w:p w14:paraId="2F2EBBAB" w14:textId="02AE0343" w:rsidR="006E57EC" w:rsidRPr="009677CC" w:rsidRDefault="006450D5" w:rsidP="006B2459">
      <w:pPr>
        <w:contextualSpacing/>
        <w:jc w:val="both"/>
        <w:rPr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>Plan i promjena prihoda od prodaje nefinancijske imovine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80"/>
        <w:gridCol w:w="3284"/>
        <w:gridCol w:w="1560"/>
        <w:gridCol w:w="1559"/>
        <w:gridCol w:w="992"/>
        <w:gridCol w:w="1564"/>
      </w:tblGrid>
      <w:tr w:rsidR="009677CC" w:rsidRPr="009677CC" w14:paraId="0381A494" w14:textId="77777777" w:rsidTr="009677CC">
        <w:trPr>
          <w:trHeight w:val="300"/>
          <w:jc w:val="center"/>
        </w:trPr>
        <w:tc>
          <w:tcPr>
            <w:tcW w:w="680" w:type="dxa"/>
            <w:vAlign w:val="center"/>
          </w:tcPr>
          <w:p w14:paraId="1E22F81D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3284" w:type="dxa"/>
            <w:vAlign w:val="center"/>
          </w:tcPr>
          <w:p w14:paraId="3E954102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7EEBC6B6" w14:textId="626B362F" w:rsidR="00412577" w:rsidRPr="009677CC" w:rsidRDefault="00412577" w:rsidP="009677C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559" w:type="dxa"/>
            <w:vAlign w:val="center"/>
          </w:tcPr>
          <w:p w14:paraId="36331DEB" w14:textId="460A9259" w:rsidR="00412577" w:rsidRPr="009677CC" w:rsidRDefault="00412577" w:rsidP="006B245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992" w:type="dxa"/>
            <w:vAlign w:val="center"/>
          </w:tcPr>
          <w:p w14:paraId="620F8621" w14:textId="062105F7" w:rsidR="00412577" w:rsidRPr="009677CC" w:rsidRDefault="002C093F" w:rsidP="006B245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4" w:type="dxa"/>
            <w:vAlign w:val="center"/>
          </w:tcPr>
          <w:p w14:paraId="08997DF4" w14:textId="11FB4E15" w:rsidR="00412577" w:rsidRPr="009677CC" w:rsidRDefault="00412577" w:rsidP="006B245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63EABD19" w14:textId="77777777" w:rsidTr="009677CC">
        <w:trPr>
          <w:trHeight w:val="300"/>
          <w:jc w:val="center"/>
        </w:trPr>
        <w:tc>
          <w:tcPr>
            <w:tcW w:w="680" w:type="dxa"/>
            <w:vAlign w:val="center"/>
            <w:hideMark/>
          </w:tcPr>
          <w:p w14:paraId="55D735E0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7</w:t>
            </w:r>
          </w:p>
        </w:tc>
        <w:tc>
          <w:tcPr>
            <w:tcW w:w="3284" w:type="dxa"/>
            <w:vAlign w:val="center"/>
            <w:hideMark/>
          </w:tcPr>
          <w:p w14:paraId="3C3AB25C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560" w:type="dxa"/>
            <w:vAlign w:val="center"/>
            <w:hideMark/>
          </w:tcPr>
          <w:p w14:paraId="32D94F6F" w14:textId="28DF8059" w:rsidR="00412577" w:rsidRPr="009677CC" w:rsidRDefault="00BF36D0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1.383</w:t>
            </w:r>
            <w:r w:rsidR="00412577" w:rsidRPr="009677CC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559" w:type="dxa"/>
            <w:vAlign w:val="center"/>
            <w:hideMark/>
          </w:tcPr>
          <w:p w14:paraId="55C93143" w14:textId="6FCC387D" w:rsidR="00412577" w:rsidRPr="009677CC" w:rsidRDefault="00BF36D0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</w:t>
            </w:r>
            <w:r w:rsidR="00412577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2273AC50" w14:textId="17DB8BAF" w:rsidR="00412577" w:rsidRPr="009677CC" w:rsidRDefault="00BF36D0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</w:t>
            </w:r>
            <w:r w:rsidR="00412577"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4AA62BCA" w14:textId="77777777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1.383.000,00</w:t>
            </w:r>
          </w:p>
        </w:tc>
      </w:tr>
      <w:tr w:rsidR="009677CC" w:rsidRPr="009677CC" w14:paraId="547D1D1B" w14:textId="77777777" w:rsidTr="009677CC">
        <w:trPr>
          <w:trHeight w:val="300"/>
          <w:jc w:val="center"/>
        </w:trPr>
        <w:tc>
          <w:tcPr>
            <w:tcW w:w="680" w:type="dxa"/>
            <w:vAlign w:val="center"/>
            <w:hideMark/>
          </w:tcPr>
          <w:p w14:paraId="3F654452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71</w:t>
            </w:r>
          </w:p>
        </w:tc>
        <w:tc>
          <w:tcPr>
            <w:tcW w:w="3284" w:type="dxa"/>
            <w:vAlign w:val="center"/>
            <w:hideMark/>
          </w:tcPr>
          <w:p w14:paraId="2AFAC845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 xml:space="preserve">Prihodi od prodaje </w:t>
            </w:r>
            <w:proofErr w:type="spellStart"/>
            <w:r w:rsidRPr="009677CC">
              <w:rPr>
                <w:bCs/>
                <w:sz w:val="22"/>
                <w:szCs w:val="22"/>
                <w:lang w:val="hr-HR"/>
              </w:rPr>
              <w:t>neproizvedene</w:t>
            </w:r>
            <w:proofErr w:type="spellEnd"/>
            <w:r w:rsidRPr="009677CC">
              <w:rPr>
                <w:bCs/>
                <w:sz w:val="22"/>
                <w:szCs w:val="22"/>
                <w:lang w:val="hr-HR"/>
              </w:rPr>
              <w:t xml:space="preserve"> dugotrajne imovine</w:t>
            </w:r>
          </w:p>
        </w:tc>
        <w:tc>
          <w:tcPr>
            <w:tcW w:w="1560" w:type="dxa"/>
            <w:vAlign w:val="center"/>
            <w:hideMark/>
          </w:tcPr>
          <w:p w14:paraId="71E1C7AB" w14:textId="7A4CC311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</w:t>
            </w:r>
            <w:r w:rsidR="00BF36D0" w:rsidRPr="009677CC">
              <w:rPr>
                <w:bCs/>
                <w:sz w:val="22"/>
                <w:szCs w:val="22"/>
              </w:rPr>
              <w:t>013</w:t>
            </w:r>
            <w:r w:rsidRPr="009677CC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559" w:type="dxa"/>
            <w:vAlign w:val="center"/>
            <w:hideMark/>
          </w:tcPr>
          <w:p w14:paraId="7DB5EBB2" w14:textId="6DE450CB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4720002D" w14:textId="61F9D9B3" w:rsidR="00412577" w:rsidRPr="009677CC" w:rsidRDefault="00BF36D0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</w:t>
            </w:r>
            <w:r w:rsidR="00412577"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31B3A992" w14:textId="77777777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1.013.000,00</w:t>
            </w:r>
          </w:p>
        </w:tc>
      </w:tr>
      <w:tr w:rsidR="009677CC" w:rsidRPr="009677CC" w14:paraId="33E072B8" w14:textId="77777777" w:rsidTr="009677CC">
        <w:trPr>
          <w:trHeight w:val="300"/>
          <w:jc w:val="center"/>
        </w:trPr>
        <w:tc>
          <w:tcPr>
            <w:tcW w:w="680" w:type="dxa"/>
            <w:vAlign w:val="center"/>
            <w:hideMark/>
          </w:tcPr>
          <w:p w14:paraId="75DFEAB4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72</w:t>
            </w:r>
          </w:p>
        </w:tc>
        <w:tc>
          <w:tcPr>
            <w:tcW w:w="3284" w:type="dxa"/>
            <w:vAlign w:val="center"/>
            <w:hideMark/>
          </w:tcPr>
          <w:p w14:paraId="2A3BEC62" w14:textId="77777777" w:rsidR="00412577" w:rsidRPr="009677CC" w:rsidRDefault="00412577" w:rsidP="006B2459">
            <w:pPr>
              <w:contextualSpacing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Prihodi od prodaje proizvedene dugotrajne imovine</w:t>
            </w:r>
          </w:p>
        </w:tc>
        <w:tc>
          <w:tcPr>
            <w:tcW w:w="1560" w:type="dxa"/>
            <w:vAlign w:val="center"/>
            <w:hideMark/>
          </w:tcPr>
          <w:p w14:paraId="57E84225" w14:textId="281DB530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</w:t>
            </w:r>
            <w:r w:rsidR="00BF36D0" w:rsidRPr="009677CC">
              <w:rPr>
                <w:bCs/>
                <w:sz w:val="22"/>
                <w:szCs w:val="22"/>
              </w:rPr>
              <w:t>7</w:t>
            </w:r>
            <w:r w:rsidRPr="009677CC">
              <w:rPr>
                <w:bCs/>
                <w:sz w:val="22"/>
                <w:szCs w:val="22"/>
              </w:rPr>
              <w:t>0.000,00</w:t>
            </w:r>
          </w:p>
        </w:tc>
        <w:tc>
          <w:tcPr>
            <w:tcW w:w="1559" w:type="dxa"/>
            <w:vAlign w:val="center"/>
            <w:hideMark/>
          </w:tcPr>
          <w:p w14:paraId="043E576B" w14:textId="6FD5FAE9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66AC4C68" w14:textId="43D95367" w:rsidR="00412577" w:rsidRPr="009677CC" w:rsidRDefault="00BF36D0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</w:t>
            </w:r>
            <w:r w:rsidR="00412577"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7AFC15E2" w14:textId="77777777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370.000,00</w:t>
            </w:r>
          </w:p>
        </w:tc>
      </w:tr>
    </w:tbl>
    <w:p w14:paraId="2EE25D33" w14:textId="77777777" w:rsidR="006E57EC" w:rsidRPr="009677CC" w:rsidRDefault="006E57EC" w:rsidP="006B2459">
      <w:pPr>
        <w:contextualSpacing/>
        <w:jc w:val="both"/>
        <w:rPr>
          <w:sz w:val="22"/>
          <w:szCs w:val="22"/>
          <w:lang w:val="hr-HR"/>
        </w:rPr>
      </w:pPr>
    </w:p>
    <w:p w14:paraId="3D1E2B58" w14:textId="5A017AAC" w:rsidR="006E57EC" w:rsidRPr="009677CC" w:rsidRDefault="006450D5" w:rsidP="006B2459">
      <w:pPr>
        <w:ind w:firstLine="720"/>
        <w:contextualSpacing/>
        <w:jc w:val="both"/>
        <w:rPr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 xml:space="preserve">Prihodi od prodaje nefinancijske imovine </w:t>
      </w:r>
      <w:r w:rsidR="002F1A87" w:rsidRPr="009677CC">
        <w:rPr>
          <w:sz w:val="22"/>
          <w:szCs w:val="22"/>
          <w:lang w:val="hr-HR"/>
        </w:rPr>
        <w:t xml:space="preserve"> ostaju nepromijenjeni te iznose</w:t>
      </w:r>
      <w:r w:rsidR="00F615B1" w:rsidRPr="009677CC">
        <w:rPr>
          <w:sz w:val="22"/>
          <w:szCs w:val="22"/>
          <w:lang w:val="hr-HR"/>
        </w:rPr>
        <w:t xml:space="preserve"> </w:t>
      </w:r>
      <w:r w:rsidR="002F1A87" w:rsidRPr="009677CC">
        <w:rPr>
          <w:sz w:val="22"/>
          <w:szCs w:val="22"/>
          <w:lang w:val="hr-HR"/>
        </w:rPr>
        <w:t>1.383.000,</w:t>
      </w:r>
      <w:r w:rsidR="00F615B1" w:rsidRPr="009677CC">
        <w:rPr>
          <w:sz w:val="22"/>
          <w:szCs w:val="22"/>
          <w:lang w:val="hr-HR"/>
        </w:rPr>
        <w:t>00 kn</w:t>
      </w:r>
      <w:r w:rsidR="002F1A87" w:rsidRPr="009677CC">
        <w:rPr>
          <w:sz w:val="22"/>
          <w:szCs w:val="22"/>
          <w:lang w:val="hr-HR"/>
        </w:rPr>
        <w:t>.</w:t>
      </w:r>
      <w:r w:rsidR="00F615B1" w:rsidRPr="009677CC">
        <w:rPr>
          <w:sz w:val="22"/>
          <w:szCs w:val="22"/>
          <w:lang w:val="hr-HR"/>
        </w:rPr>
        <w:t xml:space="preserve"> </w:t>
      </w:r>
    </w:p>
    <w:p w14:paraId="0107FAC9" w14:textId="77777777" w:rsidR="007C29D8" w:rsidRPr="009677CC" w:rsidRDefault="007C29D8" w:rsidP="006B2459">
      <w:pPr>
        <w:contextualSpacing/>
        <w:jc w:val="both"/>
        <w:rPr>
          <w:sz w:val="22"/>
          <w:szCs w:val="22"/>
          <w:lang w:val="hr-HR"/>
        </w:rPr>
      </w:pPr>
    </w:p>
    <w:p w14:paraId="5E2C98E0" w14:textId="2A1350A2" w:rsidR="003C060C" w:rsidRPr="009677CC" w:rsidRDefault="00E03236" w:rsidP="006B2459">
      <w:pPr>
        <w:contextualSpacing/>
        <w:jc w:val="both"/>
        <w:rPr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>Plan i promjena r</w:t>
      </w:r>
      <w:r w:rsidR="003C060C" w:rsidRPr="009677CC">
        <w:rPr>
          <w:sz w:val="22"/>
          <w:szCs w:val="22"/>
          <w:lang w:val="hr-HR"/>
        </w:rPr>
        <w:t>ashoda poslovanja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22"/>
        <w:gridCol w:w="3314"/>
        <w:gridCol w:w="1591"/>
        <w:gridCol w:w="1557"/>
        <w:gridCol w:w="964"/>
        <w:gridCol w:w="1591"/>
      </w:tblGrid>
      <w:tr w:rsidR="009677CC" w:rsidRPr="009677CC" w14:paraId="53FDF1C2" w14:textId="77777777" w:rsidTr="009677CC">
        <w:trPr>
          <w:trHeight w:val="300"/>
          <w:jc w:val="center"/>
        </w:trPr>
        <w:tc>
          <w:tcPr>
            <w:tcW w:w="625" w:type="dxa"/>
            <w:vAlign w:val="center"/>
          </w:tcPr>
          <w:p w14:paraId="6A08923C" w14:textId="77777777" w:rsidR="00412577" w:rsidRPr="009677CC" w:rsidRDefault="00412577" w:rsidP="006B2459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65DEFCFC" w14:textId="77777777" w:rsidR="00412577" w:rsidRPr="009677CC" w:rsidRDefault="00412577" w:rsidP="006B2459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369C2CAF" w14:textId="55BA5B82" w:rsidR="00412577" w:rsidRPr="009677CC" w:rsidRDefault="00412577" w:rsidP="009677C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559" w:type="dxa"/>
            <w:vAlign w:val="center"/>
          </w:tcPr>
          <w:p w14:paraId="206B06F3" w14:textId="69557705" w:rsidR="00412577" w:rsidRPr="009677CC" w:rsidRDefault="00412577" w:rsidP="006B245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965" w:type="dxa"/>
            <w:vAlign w:val="center"/>
          </w:tcPr>
          <w:p w14:paraId="44F655CB" w14:textId="016EDCC2" w:rsidR="00412577" w:rsidRPr="009677CC" w:rsidRDefault="009E7ACA" w:rsidP="006B245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1" w:type="dxa"/>
            <w:vAlign w:val="center"/>
          </w:tcPr>
          <w:p w14:paraId="39462B75" w14:textId="0E065190" w:rsidR="00412577" w:rsidRPr="009677CC" w:rsidRDefault="00412577" w:rsidP="006B2459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3A7B6588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51411B84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9" w:type="dxa"/>
            <w:vAlign w:val="center"/>
            <w:hideMark/>
          </w:tcPr>
          <w:p w14:paraId="49C98925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Rashodi poslovanja</w:t>
            </w:r>
          </w:p>
        </w:tc>
        <w:tc>
          <w:tcPr>
            <w:tcW w:w="1560" w:type="dxa"/>
            <w:vAlign w:val="center"/>
            <w:hideMark/>
          </w:tcPr>
          <w:p w14:paraId="539F2363" w14:textId="5D11418A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136.961.392,00</w:t>
            </w:r>
          </w:p>
        </w:tc>
        <w:tc>
          <w:tcPr>
            <w:tcW w:w="1559" w:type="dxa"/>
            <w:vAlign w:val="center"/>
            <w:hideMark/>
          </w:tcPr>
          <w:p w14:paraId="1B1D69BB" w14:textId="75F2C1D8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-3.119.058,00</w:t>
            </w:r>
          </w:p>
        </w:tc>
        <w:tc>
          <w:tcPr>
            <w:tcW w:w="965" w:type="dxa"/>
            <w:vAlign w:val="center"/>
            <w:hideMark/>
          </w:tcPr>
          <w:p w14:paraId="526DD977" w14:textId="54AB7A57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-2,28%</w:t>
            </w:r>
          </w:p>
        </w:tc>
        <w:tc>
          <w:tcPr>
            <w:tcW w:w="1591" w:type="dxa"/>
            <w:vAlign w:val="center"/>
            <w:hideMark/>
          </w:tcPr>
          <w:p w14:paraId="5B3C7C5A" w14:textId="61FF14D4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133.842.334,00</w:t>
            </w:r>
          </w:p>
        </w:tc>
      </w:tr>
      <w:tr w:rsidR="009677CC" w:rsidRPr="009677CC" w14:paraId="29704E50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2AF2EE45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339" w:type="dxa"/>
            <w:vAlign w:val="center"/>
            <w:hideMark/>
          </w:tcPr>
          <w:p w14:paraId="44AB9B11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Rashodi za zaposlene</w:t>
            </w:r>
          </w:p>
        </w:tc>
        <w:tc>
          <w:tcPr>
            <w:tcW w:w="1560" w:type="dxa"/>
            <w:vAlign w:val="center"/>
            <w:hideMark/>
          </w:tcPr>
          <w:p w14:paraId="0668B864" w14:textId="3F1E5430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59.625.265,00</w:t>
            </w:r>
          </w:p>
        </w:tc>
        <w:tc>
          <w:tcPr>
            <w:tcW w:w="1559" w:type="dxa"/>
            <w:vAlign w:val="center"/>
            <w:hideMark/>
          </w:tcPr>
          <w:p w14:paraId="7A76864D" w14:textId="0388B3AE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-873.467,00</w:t>
            </w:r>
          </w:p>
        </w:tc>
        <w:tc>
          <w:tcPr>
            <w:tcW w:w="965" w:type="dxa"/>
            <w:vAlign w:val="center"/>
            <w:hideMark/>
          </w:tcPr>
          <w:p w14:paraId="300B3E18" w14:textId="1178783B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1,46%</w:t>
            </w:r>
          </w:p>
        </w:tc>
        <w:tc>
          <w:tcPr>
            <w:tcW w:w="1591" w:type="dxa"/>
            <w:vAlign w:val="center"/>
            <w:hideMark/>
          </w:tcPr>
          <w:p w14:paraId="3A59FDF4" w14:textId="5E276B11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58.751.798,00</w:t>
            </w:r>
          </w:p>
        </w:tc>
      </w:tr>
      <w:tr w:rsidR="009677CC" w:rsidRPr="009677CC" w14:paraId="5B0C22A3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4EB20E38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339" w:type="dxa"/>
            <w:vAlign w:val="center"/>
            <w:hideMark/>
          </w:tcPr>
          <w:p w14:paraId="1FD850BD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560" w:type="dxa"/>
            <w:vAlign w:val="center"/>
            <w:hideMark/>
          </w:tcPr>
          <w:p w14:paraId="489E26B2" w14:textId="0C030F61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37.206.069,00</w:t>
            </w:r>
          </w:p>
        </w:tc>
        <w:tc>
          <w:tcPr>
            <w:tcW w:w="1559" w:type="dxa"/>
            <w:vAlign w:val="center"/>
            <w:hideMark/>
          </w:tcPr>
          <w:p w14:paraId="763F51CD" w14:textId="0AF98C6D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53</w:t>
            </w:r>
            <w:r w:rsidR="0097449C" w:rsidRPr="009677CC">
              <w:rPr>
                <w:bCs/>
                <w:sz w:val="22"/>
                <w:szCs w:val="22"/>
              </w:rPr>
              <w:t>7.352</w:t>
            </w:r>
            <w:r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65" w:type="dxa"/>
            <w:vAlign w:val="center"/>
            <w:hideMark/>
          </w:tcPr>
          <w:p w14:paraId="76322F30" w14:textId="1367CE21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1,4</w:t>
            </w:r>
            <w:r w:rsidR="0097449C" w:rsidRPr="009677CC">
              <w:rPr>
                <w:bCs/>
                <w:sz w:val="22"/>
                <w:szCs w:val="22"/>
              </w:rPr>
              <w:t>4</w:t>
            </w: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1" w:type="dxa"/>
            <w:vAlign w:val="center"/>
            <w:hideMark/>
          </w:tcPr>
          <w:p w14:paraId="7E493F3E" w14:textId="1888B4BB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37.7</w:t>
            </w:r>
            <w:r w:rsidR="0097449C" w:rsidRPr="009677CC">
              <w:rPr>
                <w:bCs/>
                <w:sz w:val="22"/>
                <w:szCs w:val="22"/>
              </w:rPr>
              <w:t>43.421</w:t>
            </w:r>
            <w:r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684ECE0A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6DA5FB1F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339" w:type="dxa"/>
            <w:vAlign w:val="center"/>
            <w:hideMark/>
          </w:tcPr>
          <w:p w14:paraId="139FC7E1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Financijski rashodi</w:t>
            </w:r>
          </w:p>
        </w:tc>
        <w:tc>
          <w:tcPr>
            <w:tcW w:w="1560" w:type="dxa"/>
            <w:vAlign w:val="center"/>
            <w:hideMark/>
          </w:tcPr>
          <w:p w14:paraId="73C3C0B3" w14:textId="61494752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1.201.250,00</w:t>
            </w:r>
          </w:p>
        </w:tc>
        <w:tc>
          <w:tcPr>
            <w:tcW w:w="1559" w:type="dxa"/>
            <w:vAlign w:val="center"/>
            <w:hideMark/>
          </w:tcPr>
          <w:p w14:paraId="37C49B8C" w14:textId="4F06047E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-86.490,00</w:t>
            </w:r>
          </w:p>
        </w:tc>
        <w:tc>
          <w:tcPr>
            <w:tcW w:w="965" w:type="dxa"/>
            <w:vAlign w:val="center"/>
            <w:hideMark/>
          </w:tcPr>
          <w:p w14:paraId="0C9021E7" w14:textId="5A88E0F2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-7,20%</w:t>
            </w:r>
          </w:p>
        </w:tc>
        <w:tc>
          <w:tcPr>
            <w:tcW w:w="1591" w:type="dxa"/>
            <w:vAlign w:val="center"/>
            <w:hideMark/>
          </w:tcPr>
          <w:p w14:paraId="10715ECE" w14:textId="0E1224DA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1.114.760,00</w:t>
            </w:r>
          </w:p>
        </w:tc>
      </w:tr>
      <w:tr w:rsidR="009677CC" w:rsidRPr="009677CC" w14:paraId="3C0330C9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6F098DB9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339" w:type="dxa"/>
            <w:vAlign w:val="center"/>
            <w:hideMark/>
          </w:tcPr>
          <w:p w14:paraId="5C8EE18D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Subvencije</w:t>
            </w:r>
          </w:p>
        </w:tc>
        <w:tc>
          <w:tcPr>
            <w:tcW w:w="1560" w:type="dxa"/>
            <w:vAlign w:val="center"/>
            <w:hideMark/>
          </w:tcPr>
          <w:p w14:paraId="706FB510" w14:textId="282F3154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4.044.000,00</w:t>
            </w:r>
          </w:p>
        </w:tc>
        <w:tc>
          <w:tcPr>
            <w:tcW w:w="1559" w:type="dxa"/>
            <w:vAlign w:val="center"/>
            <w:hideMark/>
          </w:tcPr>
          <w:p w14:paraId="088214A9" w14:textId="3330BF0F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-50.000,00</w:t>
            </w:r>
          </w:p>
        </w:tc>
        <w:tc>
          <w:tcPr>
            <w:tcW w:w="965" w:type="dxa"/>
            <w:vAlign w:val="center"/>
            <w:hideMark/>
          </w:tcPr>
          <w:p w14:paraId="015F55F7" w14:textId="542BEB64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-1,24%</w:t>
            </w:r>
          </w:p>
        </w:tc>
        <w:tc>
          <w:tcPr>
            <w:tcW w:w="1591" w:type="dxa"/>
            <w:vAlign w:val="center"/>
            <w:hideMark/>
          </w:tcPr>
          <w:p w14:paraId="41718B8B" w14:textId="245D73EA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3.994.000,00</w:t>
            </w:r>
          </w:p>
        </w:tc>
      </w:tr>
      <w:tr w:rsidR="009677CC" w:rsidRPr="009677CC" w14:paraId="780B8AD9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52DC6D0A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3339" w:type="dxa"/>
            <w:vAlign w:val="center"/>
            <w:hideMark/>
          </w:tcPr>
          <w:p w14:paraId="6D4FF76A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Pomoći dane u inozemstvo i unutar općeg proračuna</w:t>
            </w:r>
          </w:p>
        </w:tc>
        <w:tc>
          <w:tcPr>
            <w:tcW w:w="1560" w:type="dxa"/>
            <w:vAlign w:val="center"/>
            <w:hideMark/>
          </w:tcPr>
          <w:p w14:paraId="2FD39518" w14:textId="29FC82B8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2.647.900,00</w:t>
            </w:r>
          </w:p>
        </w:tc>
        <w:tc>
          <w:tcPr>
            <w:tcW w:w="1559" w:type="dxa"/>
            <w:vAlign w:val="center"/>
            <w:hideMark/>
          </w:tcPr>
          <w:p w14:paraId="630B8FA9" w14:textId="7771B10A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-1.</w:t>
            </w:r>
            <w:r w:rsidR="0097449C" w:rsidRPr="009677CC">
              <w:rPr>
                <w:bCs/>
                <w:sz w:val="22"/>
                <w:szCs w:val="22"/>
              </w:rPr>
              <w:t>461.347</w:t>
            </w:r>
            <w:r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65" w:type="dxa"/>
            <w:vAlign w:val="center"/>
            <w:hideMark/>
          </w:tcPr>
          <w:p w14:paraId="4D932D58" w14:textId="5B3BD29E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-55,</w:t>
            </w:r>
            <w:r w:rsidR="0097449C" w:rsidRPr="009677CC">
              <w:rPr>
                <w:bCs/>
                <w:sz w:val="22"/>
                <w:szCs w:val="22"/>
              </w:rPr>
              <w:t>19</w:t>
            </w: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1" w:type="dxa"/>
            <w:vAlign w:val="center"/>
            <w:hideMark/>
          </w:tcPr>
          <w:p w14:paraId="223F78D7" w14:textId="437E1DF3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1.1</w:t>
            </w:r>
            <w:r w:rsidR="0097449C" w:rsidRPr="009677CC">
              <w:rPr>
                <w:bCs/>
                <w:sz w:val="22"/>
                <w:szCs w:val="22"/>
              </w:rPr>
              <w:t>86.553</w:t>
            </w:r>
            <w:r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0E149378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117D0F14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339" w:type="dxa"/>
            <w:vAlign w:val="center"/>
            <w:hideMark/>
          </w:tcPr>
          <w:p w14:paraId="05B82811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Naknade građanima i kućanstvima na temelju osiguranja i druge naknade</w:t>
            </w:r>
          </w:p>
        </w:tc>
        <w:tc>
          <w:tcPr>
            <w:tcW w:w="1560" w:type="dxa"/>
            <w:vAlign w:val="center"/>
            <w:hideMark/>
          </w:tcPr>
          <w:p w14:paraId="04E5D7B1" w14:textId="5870EC63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3.832.500,00</w:t>
            </w:r>
          </w:p>
        </w:tc>
        <w:tc>
          <w:tcPr>
            <w:tcW w:w="1559" w:type="dxa"/>
            <w:vAlign w:val="center"/>
            <w:hideMark/>
          </w:tcPr>
          <w:p w14:paraId="009047AB" w14:textId="585E8B92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12.090</w:t>
            </w:r>
            <w:r w:rsidR="002F1A87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65" w:type="dxa"/>
            <w:vAlign w:val="center"/>
            <w:hideMark/>
          </w:tcPr>
          <w:p w14:paraId="3A1A1E99" w14:textId="4039DE8B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0,32</w:t>
            </w:r>
            <w:r w:rsidR="002F1A87"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1" w:type="dxa"/>
            <w:vAlign w:val="center"/>
            <w:hideMark/>
          </w:tcPr>
          <w:p w14:paraId="1714A542" w14:textId="03F5C914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3.844.590</w:t>
            </w:r>
            <w:r w:rsidR="002F1A87"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1B98E9CD" w14:textId="77777777" w:rsidTr="009677CC">
        <w:trPr>
          <w:trHeight w:val="300"/>
          <w:jc w:val="center"/>
        </w:trPr>
        <w:tc>
          <w:tcPr>
            <w:tcW w:w="625" w:type="dxa"/>
            <w:vAlign w:val="center"/>
            <w:hideMark/>
          </w:tcPr>
          <w:p w14:paraId="1FAF913B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339" w:type="dxa"/>
            <w:vAlign w:val="center"/>
            <w:hideMark/>
          </w:tcPr>
          <w:p w14:paraId="2D63597B" w14:textId="77777777" w:rsidR="002F1A87" w:rsidRPr="009677CC" w:rsidRDefault="002F1A87" w:rsidP="002F1A87">
            <w:pPr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Ostali rashodi</w:t>
            </w:r>
          </w:p>
        </w:tc>
        <w:tc>
          <w:tcPr>
            <w:tcW w:w="1560" w:type="dxa"/>
            <w:vAlign w:val="center"/>
            <w:hideMark/>
          </w:tcPr>
          <w:p w14:paraId="576C7D61" w14:textId="7272D702" w:rsidR="002F1A87" w:rsidRPr="009677CC" w:rsidRDefault="002F1A87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28.404.408,00</w:t>
            </w:r>
          </w:p>
        </w:tc>
        <w:tc>
          <w:tcPr>
            <w:tcW w:w="1559" w:type="dxa"/>
            <w:vAlign w:val="center"/>
            <w:hideMark/>
          </w:tcPr>
          <w:p w14:paraId="7812C6D4" w14:textId="6CED6435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-1.197.196</w:t>
            </w:r>
            <w:r w:rsidR="002F1A87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65" w:type="dxa"/>
            <w:vAlign w:val="center"/>
            <w:hideMark/>
          </w:tcPr>
          <w:p w14:paraId="0362B5FF" w14:textId="61325628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-4,21</w:t>
            </w:r>
            <w:r w:rsidR="002F1A87"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1" w:type="dxa"/>
            <w:vAlign w:val="center"/>
            <w:hideMark/>
          </w:tcPr>
          <w:p w14:paraId="7CEC983A" w14:textId="7D3F1CFF" w:rsidR="002F1A87" w:rsidRPr="009677CC" w:rsidRDefault="00631C80" w:rsidP="002F1A87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27.207.212</w:t>
            </w:r>
            <w:r w:rsidR="002F1A87" w:rsidRPr="009677CC">
              <w:rPr>
                <w:bCs/>
                <w:sz w:val="22"/>
                <w:szCs w:val="22"/>
              </w:rPr>
              <w:t>,00</w:t>
            </w:r>
          </w:p>
        </w:tc>
      </w:tr>
    </w:tbl>
    <w:p w14:paraId="66BCB4B8" w14:textId="77777777" w:rsidR="003C060C" w:rsidRPr="009677CC" w:rsidRDefault="003C060C" w:rsidP="006B2459">
      <w:pPr>
        <w:contextualSpacing/>
        <w:jc w:val="both"/>
        <w:rPr>
          <w:bCs/>
          <w:sz w:val="22"/>
          <w:szCs w:val="22"/>
          <w:lang w:val="hr-HR"/>
        </w:rPr>
      </w:pPr>
    </w:p>
    <w:p w14:paraId="06EA7B57" w14:textId="020E1A5D" w:rsidR="00AA0F8E" w:rsidRPr="009677CC" w:rsidRDefault="00AA0F8E" w:rsidP="006B2459">
      <w:pPr>
        <w:ind w:firstLine="720"/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</w:t>
      </w:r>
      <w:r w:rsidR="003C060C" w:rsidRPr="009677CC">
        <w:rPr>
          <w:bCs/>
          <w:sz w:val="22"/>
          <w:szCs w:val="22"/>
          <w:lang w:val="hr-HR"/>
        </w:rPr>
        <w:t xml:space="preserve">shodi poslovanja </w:t>
      </w:r>
      <w:r w:rsidR="00EB6C35" w:rsidRPr="009677CC">
        <w:rPr>
          <w:bCs/>
          <w:sz w:val="22"/>
          <w:szCs w:val="22"/>
          <w:lang w:val="hr-HR"/>
        </w:rPr>
        <w:t>smanjeni</w:t>
      </w:r>
      <w:r w:rsidR="00E214C6" w:rsidRPr="009677CC">
        <w:rPr>
          <w:bCs/>
          <w:sz w:val="22"/>
          <w:szCs w:val="22"/>
          <w:lang w:val="hr-HR"/>
        </w:rPr>
        <w:t xml:space="preserve"> su za </w:t>
      </w:r>
      <w:r w:rsidR="00EB6C35" w:rsidRPr="009677CC">
        <w:rPr>
          <w:bCs/>
          <w:sz w:val="22"/>
          <w:szCs w:val="22"/>
          <w:lang w:val="hr-HR"/>
        </w:rPr>
        <w:t>3.119.058</w:t>
      </w:r>
      <w:r w:rsidR="00E214C6" w:rsidRPr="009677CC">
        <w:rPr>
          <w:bCs/>
          <w:sz w:val="22"/>
          <w:szCs w:val="22"/>
          <w:lang w:val="hr-HR"/>
        </w:rPr>
        <w:t>,00 kn ili</w:t>
      </w:r>
      <w:r w:rsidR="003C060C" w:rsidRPr="009677CC">
        <w:rPr>
          <w:bCs/>
          <w:sz w:val="22"/>
          <w:szCs w:val="22"/>
          <w:lang w:val="hr-HR"/>
        </w:rPr>
        <w:t xml:space="preserve"> za 2</w:t>
      </w:r>
      <w:r w:rsidR="00EB6C35" w:rsidRPr="009677CC">
        <w:rPr>
          <w:bCs/>
          <w:sz w:val="22"/>
          <w:szCs w:val="22"/>
          <w:lang w:val="hr-HR"/>
        </w:rPr>
        <w:t xml:space="preserve">,28 </w:t>
      </w:r>
      <w:r w:rsidR="003C060C" w:rsidRPr="009677CC">
        <w:rPr>
          <w:bCs/>
          <w:sz w:val="22"/>
          <w:szCs w:val="22"/>
          <w:lang w:val="hr-HR"/>
        </w:rPr>
        <w:t>%</w:t>
      </w:r>
      <w:r w:rsidRPr="009677CC">
        <w:rPr>
          <w:bCs/>
          <w:sz w:val="22"/>
          <w:szCs w:val="22"/>
          <w:lang w:val="hr-HR"/>
        </w:rPr>
        <w:t xml:space="preserve"> u odnosu na plan</w:t>
      </w:r>
      <w:r w:rsidR="007D19EB" w:rsidRPr="009677CC">
        <w:rPr>
          <w:bCs/>
          <w:sz w:val="22"/>
          <w:szCs w:val="22"/>
          <w:lang w:val="hr-HR"/>
        </w:rPr>
        <w:t>irane te sada iznose 1</w:t>
      </w:r>
      <w:r w:rsidR="00EB6C35" w:rsidRPr="009677CC">
        <w:rPr>
          <w:bCs/>
          <w:sz w:val="22"/>
          <w:szCs w:val="22"/>
          <w:lang w:val="hr-HR"/>
        </w:rPr>
        <w:t>33.842.334,</w:t>
      </w:r>
      <w:r w:rsidR="007D19EB" w:rsidRPr="009677CC">
        <w:rPr>
          <w:bCs/>
          <w:sz w:val="22"/>
          <w:szCs w:val="22"/>
          <w:lang w:val="hr-HR"/>
        </w:rPr>
        <w:t>0</w:t>
      </w:r>
      <w:r w:rsidRPr="009677CC">
        <w:rPr>
          <w:bCs/>
          <w:sz w:val="22"/>
          <w:szCs w:val="22"/>
          <w:lang w:val="hr-HR"/>
        </w:rPr>
        <w:t xml:space="preserve">0 kn. </w:t>
      </w:r>
      <w:r w:rsidR="00EB6C35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rashoda poslovanja odnosi se na:</w:t>
      </w:r>
    </w:p>
    <w:p w14:paraId="14092E13" w14:textId="04B9020B" w:rsidR="00AF038B" w:rsidRPr="009677CC" w:rsidRDefault="007F042F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rashoda za zaposlene za </w:t>
      </w:r>
      <w:r w:rsidRPr="009677CC">
        <w:rPr>
          <w:bCs/>
          <w:sz w:val="22"/>
          <w:szCs w:val="22"/>
          <w:lang w:val="hr-HR"/>
        </w:rPr>
        <w:t>873.467</w:t>
      </w:r>
      <w:r w:rsidR="00E214C6" w:rsidRPr="009677CC">
        <w:rPr>
          <w:bCs/>
          <w:sz w:val="22"/>
          <w:szCs w:val="22"/>
          <w:lang w:val="hr-HR"/>
        </w:rPr>
        <w:t xml:space="preserve">,00 kn ili </w:t>
      </w:r>
      <w:r w:rsidR="007D19EB" w:rsidRPr="009677CC">
        <w:rPr>
          <w:bCs/>
          <w:sz w:val="22"/>
          <w:szCs w:val="22"/>
          <w:lang w:val="hr-HR"/>
        </w:rPr>
        <w:t xml:space="preserve">za </w:t>
      </w:r>
      <w:r w:rsidRPr="009677CC">
        <w:rPr>
          <w:bCs/>
          <w:sz w:val="22"/>
          <w:szCs w:val="22"/>
          <w:lang w:val="hr-HR"/>
        </w:rPr>
        <w:t xml:space="preserve">1,46 </w:t>
      </w:r>
      <w:r w:rsidR="007D19EB" w:rsidRPr="009677CC">
        <w:rPr>
          <w:bCs/>
          <w:sz w:val="22"/>
          <w:szCs w:val="22"/>
          <w:lang w:val="hr-HR"/>
        </w:rPr>
        <w:t xml:space="preserve">%. </w:t>
      </w:r>
      <w:r w:rsidRPr="009677CC">
        <w:rPr>
          <w:bCs/>
          <w:sz w:val="22"/>
          <w:szCs w:val="22"/>
          <w:lang w:val="hr-HR"/>
        </w:rPr>
        <w:t>Smanjenje</w:t>
      </w:r>
      <w:r w:rsidR="007D19EB" w:rsidRPr="009677CC">
        <w:rPr>
          <w:bCs/>
          <w:sz w:val="22"/>
          <w:szCs w:val="22"/>
          <w:lang w:val="hr-HR"/>
        </w:rPr>
        <w:t xml:space="preserve"> na pozicijama bruto plaća, doprinosa na plaće i naknade zaposlenima</w:t>
      </w:r>
      <w:r w:rsidR="00AF038B" w:rsidRPr="009677CC">
        <w:rPr>
          <w:bCs/>
          <w:sz w:val="22"/>
          <w:szCs w:val="22"/>
          <w:lang w:val="hr-HR"/>
        </w:rPr>
        <w:t xml:space="preserve"> odnosi se na</w:t>
      </w:r>
      <w:r w:rsidR="00013F2C" w:rsidRPr="009677CC">
        <w:rPr>
          <w:bCs/>
          <w:sz w:val="22"/>
          <w:szCs w:val="22"/>
          <w:lang w:val="hr-HR"/>
        </w:rPr>
        <w:t xml:space="preserve"> </w:t>
      </w:r>
      <w:r w:rsidR="00AF038B" w:rsidRPr="009677CC">
        <w:rPr>
          <w:bCs/>
          <w:sz w:val="22"/>
          <w:szCs w:val="22"/>
          <w:lang w:val="hr-HR"/>
        </w:rPr>
        <w:t xml:space="preserve">značajnije </w:t>
      </w:r>
      <w:r w:rsidRPr="009677CC">
        <w:rPr>
          <w:bCs/>
          <w:sz w:val="22"/>
          <w:szCs w:val="22"/>
          <w:lang w:val="hr-HR"/>
        </w:rPr>
        <w:t>smanjenje</w:t>
      </w:r>
      <w:r w:rsidR="00AF038B" w:rsidRPr="009677CC">
        <w:rPr>
          <w:bCs/>
          <w:sz w:val="22"/>
          <w:szCs w:val="22"/>
          <w:lang w:val="hr-HR"/>
        </w:rPr>
        <w:t xml:space="preserve"> kod projekata EU koje provodi Grad i proračunski korisnici (Petica za dvoje, Požeški </w:t>
      </w:r>
      <w:proofErr w:type="spellStart"/>
      <w:r w:rsidR="00AF038B" w:rsidRPr="009677CC">
        <w:rPr>
          <w:bCs/>
          <w:sz w:val="22"/>
          <w:szCs w:val="22"/>
          <w:lang w:val="hr-HR"/>
        </w:rPr>
        <w:t>limači</w:t>
      </w:r>
      <w:proofErr w:type="spellEnd"/>
      <w:r w:rsidR="00AF038B" w:rsidRPr="009677CC">
        <w:rPr>
          <w:bCs/>
          <w:sz w:val="22"/>
          <w:szCs w:val="22"/>
          <w:lang w:val="hr-HR"/>
        </w:rPr>
        <w:t>),</w:t>
      </w:r>
    </w:p>
    <w:p w14:paraId="14C8DA28" w14:textId="5FA6A303" w:rsidR="00AA0F8E" w:rsidRPr="009677CC" w:rsidRDefault="00AA0F8E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povećanje materijalnih rashoda za </w:t>
      </w:r>
      <w:r w:rsidR="003F51D9" w:rsidRPr="009677CC">
        <w:rPr>
          <w:bCs/>
          <w:sz w:val="22"/>
          <w:szCs w:val="22"/>
          <w:lang w:val="hr-HR"/>
        </w:rPr>
        <w:t>53</w:t>
      </w:r>
      <w:r w:rsidR="0097449C" w:rsidRPr="009677CC">
        <w:rPr>
          <w:bCs/>
          <w:sz w:val="22"/>
          <w:szCs w:val="22"/>
          <w:lang w:val="hr-HR"/>
        </w:rPr>
        <w:t>7.352</w:t>
      </w:r>
      <w:r w:rsidR="00AF038B" w:rsidRPr="009677CC">
        <w:rPr>
          <w:bCs/>
          <w:sz w:val="22"/>
          <w:szCs w:val="22"/>
          <w:lang w:val="hr-HR"/>
        </w:rPr>
        <w:t xml:space="preserve">,00 kn, odnosno za </w:t>
      </w:r>
      <w:r w:rsidR="003F51D9" w:rsidRPr="009677CC">
        <w:rPr>
          <w:bCs/>
          <w:sz w:val="22"/>
          <w:szCs w:val="22"/>
          <w:lang w:val="hr-HR"/>
        </w:rPr>
        <w:t>1,4</w:t>
      </w:r>
      <w:r w:rsidR="0097449C" w:rsidRPr="009677CC">
        <w:rPr>
          <w:bCs/>
          <w:sz w:val="22"/>
          <w:szCs w:val="22"/>
          <w:lang w:val="hr-HR"/>
        </w:rPr>
        <w:t>4</w:t>
      </w:r>
      <w:r w:rsidR="00AF038B" w:rsidRPr="009677CC">
        <w:rPr>
          <w:bCs/>
          <w:sz w:val="22"/>
          <w:szCs w:val="22"/>
          <w:lang w:val="hr-HR"/>
        </w:rPr>
        <w:t>% u odnosu na planirane</w:t>
      </w:r>
      <w:r w:rsidR="00B43D72" w:rsidRPr="009677CC">
        <w:rPr>
          <w:bCs/>
          <w:sz w:val="22"/>
          <w:szCs w:val="22"/>
          <w:lang w:val="hr-HR"/>
        </w:rPr>
        <w:t>,</w:t>
      </w:r>
      <w:r w:rsidRPr="009677CC">
        <w:rPr>
          <w:bCs/>
          <w:sz w:val="22"/>
          <w:szCs w:val="22"/>
          <w:lang w:val="hr-HR"/>
        </w:rPr>
        <w:t xml:space="preserve"> (odnosi se na </w:t>
      </w:r>
      <w:r w:rsidR="00B43D72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naknade troškova zaposlenima za </w:t>
      </w:r>
      <w:r w:rsidR="003F51D9" w:rsidRPr="009677CC">
        <w:rPr>
          <w:bCs/>
          <w:sz w:val="22"/>
          <w:szCs w:val="22"/>
          <w:lang w:val="hr-HR"/>
        </w:rPr>
        <w:t>9</w:t>
      </w:r>
      <w:r w:rsidR="0097449C" w:rsidRPr="009677CC">
        <w:rPr>
          <w:bCs/>
          <w:sz w:val="22"/>
          <w:szCs w:val="22"/>
          <w:lang w:val="hr-HR"/>
        </w:rPr>
        <w:t>1.296</w:t>
      </w:r>
      <w:r w:rsidRPr="009677CC">
        <w:rPr>
          <w:bCs/>
          <w:sz w:val="22"/>
          <w:szCs w:val="22"/>
          <w:lang w:val="hr-HR"/>
        </w:rPr>
        <w:t xml:space="preserve">,00 kn, povećanje rashoda za materijal i energiju za </w:t>
      </w:r>
      <w:r w:rsidR="006C6AD2" w:rsidRPr="009677CC">
        <w:rPr>
          <w:bCs/>
          <w:sz w:val="22"/>
          <w:szCs w:val="22"/>
          <w:lang w:val="hr-HR"/>
        </w:rPr>
        <w:t>320.120</w:t>
      </w:r>
      <w:r w:rsidRPr="009677CC">
        <w:rPr>
          <w:bCs/>
          <w:sz w:val="22"/>
          <w:szCs w:val="22"/>
          <w:lang w:val="hr-HR"/>
        </w:rPr>
        <w:t xml:space="preserve">,00 kn, povećanje rashoda za usluge za </w:t>
      </w:r>
      <w:r w:rsidR="006C6AD2" w:rsidRPr="009677CC">
        <w:rPr>
          <w:bCs/>
          <w:sz w:val="22"/>
          <w:szCs w:val="22"/>
          <w:lang w:val="hr-HR"/>
        </w:rPr>
        <w:t>508.516</w:t>
      </w:r>
      <w:r w:rsidR="00B43D72" w:rsidRPr="009677CC">
        <w:rPr>
          <w:bCs/>
          <w:sz w:val="22"/>
          <w:szCs w:val="22"/>
          <w:lang w:val="hr-HR"/>
        </w:rPr>
        <w:t>,00</w:t>
      </w:r>
      <w:r w:rsidRPr="009677CC">
        <w:rPr>
          <w:bCs/>
          <w:sz w:val="22"/>
          <w:szCs w:val="22"/>
          <w:lang w:val="hr-HR"/>
        </w:rPr>
        <w:t xml:space="preserve"> kn, smanjenje naknade osobama izvan radnog odnosa za </w:t>
      </w:r>
      <w:r w:rsidR="006C6AD2" w:rsidRPr="009677CC">
        <w:rPr>
          <w:bCs/>
          <w:sz w:val="22"/>
          <w:szCs w:val="22"/>
          <w:lang w:val="hr-HR"/>
        </w:rPr>
        <w:t>1.500</w:t>
      </w:r>
      <w:r w:rsidRPr="009677CC">
        <w:rPr>
          <w:bCs/>
          <w:sz w:val="22"/>
          <w:szCs w:val="22"/>
          <w:lang w:val="hr-HR"/>
        </w:rPr>
        <w:t xml:space="preserve">,00 kn te </w:t>
      </w:r>
      <w:r w:rsidR="006C6AD2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ostalih nespomenutih rashoda poslovanja za </w:t>
      </w:r>
      <w:r w:rsidR="006C6AD2" w:rsidRPr="009677CC">
        <w:rPr>
          <w:bCs/>
          <w:sz w:val="22"/>
          <w:szCs w:val="22"/>
          <w:lang w:val="hr-HR"/>
        </w:rPr>
        <w:t>198.488</w:t>
      </w:r>
      <w:r w:rsidRPr="009677CC">
        <w:rPr>
          <w:bCs/>
          <w:sz w:val="22"/>
          <w:szCs w:val="22"/>
          <w:lang w:val="hr-HR"/>
        </w:rPr>
        <w:t>,00 kn)</w:t>
      </w:r>
      <w:r w:rsidR="006C6AD2" w:rsidRPr="009677CC">
        <w:rPr>
          <w:bCs/>
          <w:sz w:val="22"/>
          <w:szCs w:val="22"/>
          <w:lang w:val="hr-HR"/>
        </w:rPr>
        <w:t>.</w:t>
      </w:r>
      <w:r w:rsidR="00B43D72" w:rsidRPr="009677CC">
        <w:rPr>
          <w:bCs/>
          <w:sz w:val="22"/>
          <w:szCs w:val="22"/>
          <w:lang w:val="hr-HR"/>
        </w:rPr>
        <w:t xml:space="preserve"> </w:t>
      </w:r>
      <w:r w:rsidR="00003CD9" w:rsidRPr="009677CC">
        <w:rPr>
          <w:bCs/>
          <w:sz w:val="22"/>
          <w:szCs w:val="22"/>
          <w:lang w:val="hr-HR"/>
        </w:rPr>
        <w:t xml:space="preserve">Na značajnije povećanje rashoda za materijal i energiju, te usluge </w:t>
      </w:r>
      <w:r w:rsidR="00B43D72" w:rsidRPr="009677CC">
        <w:rPr>
          <w:bCs/>
          <w:sz w:val="22"/>
          <w:szCs w:val="22"/>
          <w:lang w:val="hr-HR"/>
        </w:rPr>
        <w:t xml:space="preserve">utjecalo </w:t>
      </w:r>
      <w:r w:rsidR="00003CD9" w:rsidRPr="009677CC">
        <w:rPr>
          <w:bCs/>
          <w:sz w:val="22"/>
          <w:szCs w:val="22"/>
          <w:lang w:val="hr-HR"/>
        </w:rPr>
        <w:t xml:space="preserve">je </w:t>
      </w:r>
      <w:r w:rsidR="00B43D72" w:rsidRPr="009677CC">
        <w:rPr>
          <w:bCs/>
          <w:sz w:val="22"/>
          <w:szCs w:val="22"/>
          <w:lang w:val="hr-HR"/>
        </w:rPr>
        <w:t>saniranje šteta nakon dvije elementarne nepogode u Gradu Požegi i prigradskim naseljima</w:t>
      </w:r>
      <w:r w:rsidR="00003CD9" w:rsidRPr="009677CC">
        <w:rPr>
          <w:bCs/>
          <w:sz w:val="22"/>
          <w:szCs w:val="22"/>
          <w:lang w:val="hr-HR"/>
        </w:rPr>
        <w:t xml:space="preserve">, te su povećani rashodi planirani kroz projekte </w:t>
      </w:r>
      <w:r w:rsidR="005921D0" w:rsidRPr="009677CC">
        <w:rPr>
          <w:bCs/>
          <w:sz w:val="22"/>
          <w:szCs w:val="22"/>
          <w:lang w:val="hr-HR"/>
        </w:rPr>
        <w:t xml:space="preserve">Održavanje i potrošnja javne rasvjete, </w:t>
      </w:r>
      <w:r w:rsidR="00003CD9" w:rsidRPr="009677CC">
        <w:rPr>
          <w:bCs/>
          <w:sz w:val="22"/>
          <w:szCs w:val="22"/>
          <w:lang w:val="hr-HR"/>
        </w:rPr>
        <w:t>Održavanje poslovnih, stambenih prostora, Saniranje elementarne nepogode, i drugo.</w:t>
      </w:r>
    </w:p>
    <w:p w14:paraId="7865FE3B" w14:textId="7839919C" w:rsidR="00AA0F8E" w:rsidRPr="009677CC" w:rsidRDefault="00B43D72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financijskih rashoda za </w:t>
      </w:r>
      <w:r w:rsidR="006C6AD2" w:rsidRPr="009677CC">
        <w:rPr>
          <w:bCs/>
          <w:sz w:val="22"/>
          <w:szCs w:val="22"/>
          <w:lang w:val="hr-HR"/>
        </w:rPr>
        <w:t>86.490</w:t>
      </w:r>
      <w:r w:rsidRPr="009677CC">
        <w:rPr>
          <w:bCs/>
          <w:sz w:val="22"/>
          <w:szCs w:val="22"/>
          <w:lang w:val="hr-HR"/>
        </w:rPr>
        <w:t xml:space="preserve">,00 kn, odnosno za </w:t>
      </w:r>
      <w:r w:rsidR="006C6AD2" w:rsidRPr="009677CC">
        <w:rPr>
          <w:bCs/>
          <w:sz w:val="22"/>
          <w:szCs w:val="22"/>
          <w:lang w:val="hr-HR"/>
        </w:rPr>
        <w:t>7,20</w:t>
      </w:r>
      <w:r w:rsidRPr="009677CC">
        <w:rPr>
          <w:bCs/>
          <w:sz w:val="22"/>
          <w:szCs w:val="22"/>
          <w:lang w:val="hr-HR"/>
        </w:rPr>
        <w:t xml:space="preserve">% </w:t>
      </w:r>
      <w:r w:rsidR="00AA0F8E" w:rsidRPr="009677CC">
        <w:rPr>
          <w:bCs/>
          <w:sz w:val="22"/>
          <w:szCs w:val="22"/>
          <w:lang w:val="hr-HR"/>
        </w:rPr>
        <w:t xml:space="preserve">koje se odnosi na </w:t>
      </w:r>
      <w:r w:rsidRPr="009677CC">
        <w:rPr>
          <w:bCs/>
          <w:sz w:val="22"/>
          <w:szCs w:val="22"/>
          <w:lang w:val="hr-HR"/>
        </w:rPr>
        <w:t>smanjenje rashoda za kamate i dr. financijske rashode</w:t>
      </w:r>
      <w:r w:rsidR="00E214C6" w:rsidRPr="009677CC">
        <w:rPr>
          <w:bCs/>
          <w:sz w:val="22"/>
          <w:szCs w:val="22"/>
          <w:lang w:val="hr-HR"/>
        </w:rPr>
        <w:t>, prema procjeni tih rashoda do kraja godine</w:t>
      </w:r>
      <w:r w:rsidR="00AA0F8E" w:rsidRPr="009677CC">
        <w:rPr>
          <w:bCs/>
          <w:sz w:val="22"/>
          <w:szCs w:val="22"/>
          <w:lang w:val="hr-HR"/>
        </w:rPr>
        <w:t xml:space="preserve"> </w:t>
      </w:r>
    </w:p>
    <w:p w14:paraId="7BD70522" w14:textId="25433643" w:rsidR="00AA0F8E" w:rsidRPr="009677CC" w:rsidRDefault="006C6AD2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subvencija za </w:t>
      </w:r>
      <w:r w:rsidRPr="009677CC">
        <w:rPr>
          <w:bCs/>
          <w:sz w:val="22"/>
          <w:szCs w:val="22"/>
          <w:lang w:val="hr-HR"/>
        </w:rPr>
        <w:t>50</w:t>
      </w:r>
      <w:r w:rsidR="00B43D72" w:rsidRPr="009677CC">
        <w:rPr>
          <w:bCs/>
          <w:sz w:val="22"/>
          <w:szCs w:val="22"/>
          <w:lang w:val="hr-HR"/>
        </w:rPr>
        <w:t>.000,</w:t>
      </w:r>
      <w:r w:rsidR="00AA0F8E" w:rsidRPr="009677CC">
        <w:rPr>
          <w:bCs/>
          <w:sz w:val="22"/>
          <w:szCs w:val="22"/>
          <w:lang w:val="hr-HR"/>
        </w:rPr>
        <w:t>00 kn</w:t>
      </w:r>
      <w:r w:rsidR="00B43D72" w:rsidRPr="009677CC">
        <w:rPr>
          <w:bCs/>
          <w:sz w:val="22"/>
          <w:szCs w:val="22"/>
          <w:lang w:val="hr-HR"/>
        </w:rPr>
        <w:t xml:space="preserve">, odnosno za </w:t>
      </w:r>
      <w:r w:rsidR="005921D0" w:rsidRPr="009677CC">
        <w:rPr>
          <w:bCs/>
          <w:sz w:val="22"/>
          <w:szCs w:val="22"/>
          <w:lang w:val="hr-HR"/>
        </w:rPr>
        <w:t>1,24</w:t>
      </w:r>
      <w:r w:rsidR="00B43D72" w:rsidRPr="009677CC">
        <w:rPr>
          <w:bCs/>
          <w:sz w:val="22"/>
          <w:szCs w:val="22"/>
          <w:lang w:val="hr-HR"/>
        </w:rPr>
        <w:t xml:space="preserve">%, koje se </w:t>
      </w:r>
      <w:r w:rsidR="00AA0F8E" w:rsidRPr="009677CC">
        <w:rPr>
          <w:bCs/>
          <w:sz w:val="22"/>
          <w:szCs w:val="22"/>
          <w:lang w:val="hr-HR"/>
        </w:rPr>
        <w:t>odnos</w:t>
      </w:r>
      <w:r w:rsidR="00B43D72" w:rsidRPr="009677CC">
        <w:rPr>
          <w:bCs/>
          <w:sz w:val="22"/>
          <w:szCs w:val="22"/>
          <w:lang w:val="hr-HR"/>
        </w:rPr>
        <w:t xml:space="preserve">i </w:t>
      </w:r>
      <w:r w:rsidR="00AA0F8E" w:rsidRPr="009677CC">
        <w:rPr>
          <w:bCs/>
          <w:sz w:val="22"/>
          <w:szCs w:val="22"/>
          <w:lang w:val="hr-HR"/>
        </w:rPr>
        <w:t xml:space="preserve">na </w:t>
      </w:r>
      <w:r w:rsidR="00423FA9" w:rsidRPr="009677CC">
        <w:rPr>
          <w:bCs/>
          <w:sz w:val="22"/>
          <w:szCs w:val="22"/>
          <w:lang w:val="hr-HR"/>
        </w:rPr>
        <w:t>smanjenje subvencije trgovačkim društvima i obrtnicima i povećanje subvencije poljoprivrednicima.</w:t>
      </w:r>
      <w:r w:rsidR="00E214C6" w:rsidRPr="009677CC">
        <w:rPr>
          <w:bCs/>
          <w:sz w:val="22"/>
          <w:szCs w:val="22"/>
          <w:lang w:val="hr-HR"/>
        </w:rPr>
        <w:t xml:space="preserve"> </w:t>
      </w:r>
    </w:p>
    <w:p w14:paraId="02ECD22E" w14:textId="626D3AE1" w:rsidR="00AA0F8E" w:rsidRPr="009677CC" w:rsidRDefault="002600BE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smanjenje</w:t>
      </w:r>
      <w:r w:rsidR="00E571BF" w:rsidRPr="009677CC">
        <w:rPr>
          <w:bCs/>
          <w:sz w:val="22"/>
          <w:szCs w:val="22"/>
          <w:lang w:val="hr-HR"/>
        </w:rPr>
        <w:t xml:space="preserve"> </w:t>
      </w:r>
      <w:r w:rsidR="00AA0F8E" w:rsidRPr="009677CC">
        <w:rPr>
          <w:bCs/>
          <w:sz w:val="22"/>
          <w:szCs w:val="22"/>
          <w:lang w:val="hr-HR"/>
        </w:rPr>
        <w:t xml:space="preserve">pomoći danih u inozemstvo i unutar općeg proračuna za </w:t>
      </w:r>
      <w:r w:rsidRPr="009677CC">
        <w:rPr>
          <w:bCs/>
          <w:sz w:val="22"/>
          <w:szCs w:val="22"/>
          <w:lang w:val="hr-HR"/>
        </w:rPr>
        <w:t>1.4</w:t>
      </w:r>
      <w:r w:rsidR="00A60448" w:rsidRPr="009677CC">
        <w:rPr>
          <w:bCs/>
          <w:sz w:val="22"/>
          <w:szCs w:val="22"/>
          <w:lang w:val="hr-HR"/>
        </w:rPr>
        <w:t>61.347</w:t>
      </w:r>
      <w:r w:rsidR="00A414B8" w:rsidRPr="009677CC">
        <w:rPr>
          <w:bCs/>
          <w:sz w:val="22"/>
          <w:szCs w:val="22"/>
          <w:lang w:val="hr-HR"/>
        </w:rPr>
        <w:t xml:space="preserve">,00 kn, odnosno za </w:t>
      </w:r>
      <w:r w:rsidRPr="009677CC">
        <w:rPr>
          <w:bCs/>
          <w:sz w:val="22"/>
          <w:szCs w:val="22"/>
          <w:lang w:val="hr-HR"/>
        </w:rPr>
        <w:t>55,</w:t>
      </w:r>
      <w:r w:rsidR="00A60448" w:rsidRPr="009677CC">
        <w:rPr>
          <w:bCs/>
          <w:sz w:val="22"/>
          <w:szCs w:val="22"/>
          <w:lang w:val="hr-HR"/>
        </w:rPr>
        <w:t>19</w:t>
      </w:r>
      <w:r w:rsidR="00AA0F8E" w:rsidRPr="009677CC">
        <w:rPr>
          <w:bCs/>
          <w:sz w:val="22"/>
          <w:szCs w:val="22"/>
          <w:lang w:val="hr-HR"/>
        </w:rPr>
        <w:t xml:space="preserve">% (odnosi se na </w:t>
      </w:r>
      <w:r w:rsidR="0085090F"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pomoći</w:t>
      </w:r>
      <w:r w:rsidR="00A414B8" w:rsidRPr="009677CC">
        <w:rPr>
          <w:bCs/>
          <w:sz w:val="22"/>
          <w:szCs w:val="22"/>
          <w:lang w:val="hr-HR"/>
        </w:rPr>
        <w:t xml:space="preserve"> inozemnim vladama za </w:t>
      </w:r>
      <w:r w:rsidR="0085090F" w:rsidRPr="009677CC">
        <w:rPr>
          <w:bCs/>
          <w:sz w:val="22"/>
          <w:szCs w:val="22"/>
          <w:lang w:val="hr-HR"/>
        </w:rPr>
        <w:t>37</w:t>
      </w:r>
      <w:r w:rsidR="00A414B8" w:rsidRPr="009677CC">
        <w:rPr>
          <w:bCs/>
          <w:sz w:val="22"/>
          <w:szCs w:val="22"/>
          <w:lang w:val="hr-HR"/>
        </w:rPr>
        <w:t>.000,00 kn radi projekta Ulaganja u partnerska područja Požega-Kreševo</w:t>
      </w:r>
      <w:r w:rsidR="0085090F" w:rsidRPr="009677CC">
        <w:rPr>
          <w:bCs/>
          <w:sz w:val="22"/>
          <w:szCs w:val="22"/>
          <w:lang w:val="hr-HR"/>
        </w:rPr>
        <w:t xml:space="preserve"> i </w:t>
      </w:r>
      <w:r w:rsidR="00A414B8" w:rsidRPr="009677CC">
        <w:rPr>
          <w:bCs/>
          <w:sz w:val="22"/>
          <w:szCs w:val="22"/>
          <w:lang w:val="hr-HR"/>
        </w:rPr>
        <w:t xml:space="preserve">pomoći </w:t>
      </w:r>
      <w:r w:rsidR="00AA0F8E" w:rsidRPr="009677CC">
        <w:rPr>
          <w:bCs/>
          <w:sz w:val="22"/>
          <w:szCs w:val="22"/>
          <w:lang w:val="hr-HR"/>
        </w:rPr>
        <w:t xml:space="preserve">unutar općeg proračuna za </w:t>
      </w:r>
      <w:r w:rsidR="00A414B8" w:rsidRPr="009677CC">
        <w:rPr>
          <w:bCs/>
          <w:sz w:val="22"/>
          <w:szCs w:val="22"/>
          <w:lang w:val="hr-HR"/>
        </w:rPr>
        <w:t>2</w:t>
      </w:r>
      <w:r w:rsidR="0085090F" w:rsidRPr="009677CC">
        <w:rPr>
          <w:bCs/>
          <w:sz w:val="22"/>
          <w:szCs w:val="22"/>
          <w:lang w:val="hr-HR"/>
        </w:rPr>
        <w:t>32</w:t>
      </w:r>
      <w:r w:rsidR="00A414B8" w:rsidRPr="009677CC">
        <w:rPr>
          <w:bCs/>
          <w:sz w:val="22"/>
          <w:szCs w:val="22"/>
          <w:lang w:val="hr-HR"/>
        </w:rPr>
        <w:t>.</w:t>
      </w:r>
      <w:r w:rsidR="00AA0F8E" w:rsidRPr="009677CC">
        <w:rPr>
          <w:bCs/>
          <w:sz w:val="22"/>
          <w:szCs w:val="22"/>
          <w:lang w:val="hr-HR"/>
        </w:rPr>
        <w:t>0</w:t>
      </w:r>
      <w:r w:rsidR="00A414B8" w:rsidRPr="009677CC">
        <w:rPr>
          <w:bCs/>
          <w:sz w:val="22"/>
          <w:szCs w:val="22"/>
          <w:lang w:val="hr-HR"/>
        </w:rPr>
        <w:t>0</w:t>
      </w:r>
      <w:r w:rsidR="00AA0F8E" w:rsidRPr="009677CC">
        <w:rPr>
          <w:bCs/>
          <w:sz w:val="22"/>
          <w:szCs w:val="22"/>
          <w:lang w:val="hr-HR"/>
        </w:rPr>
        <w:t>0,00 kn radi projekta</w:t>
      </w:r>
      <w:r w:rsidR="007C7E64" w:rsidRPr="009677CC">
        <w:rPr>
          <w:bCs/>
          <w:sz w:val="22"/>
          <w:szCs w:val="22"/>
          <w:lang w:val="hr-HR"/>
        </w:rPr>
        <w:t xml:space="preserve"> Nabava spremnika za odvojeno prikupljanje otpada kod dječjih vrtića</w:t>
      </w:r>
      <w:r w:rsidR="00AA0F8E" w:rsidRPr="009677CC">
        <w:rPr>
          <w:bCs/>
          <w:sz w:val="22"/>
          <w:szCs w:val="22"/>
          <w:lang w:val="hr-HR"/>
        </w:rPr>
        <w:t xml:space="preserve">, </w:t>
      </w:r>
      <w:r w:rsidR="0085090F"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pomoći proračunskim korisnicima drugih proračuna za </w:t>
      </w:r>
      <w:r w:rsidR="0085090F" w:rsidRPr="009677CC">
        <w:rPr>
          <w:bCs/>
          <w:sz w:val="22"/>
          <w:szCs w:val="22"/>
          <w:lang w:val="hr-HR"/>
        </w:rPr>
        <w:t>506</w:t>
      </w:r>
      <w:r w:rsidR="007C7E64" w:rsidRPr="009677CC">
        <w:rPr>
          <w:bCs/>
          <w:sz w:val="22"/>
          <w:szCs w:val="22"/>
          <w:lang w:val="hr-HR"/>
        </w:rPr>
        <w:t>.</w:t>
      </w:r>
      <w:r w:rsidR="00AA0F8E" w:rsidRPr="009677CC">
        <w:rPr>
          <w:bCs/>
          <w:sz w:val="22"/>
          <w:szCs w:val="22"/>
          <w:lang w:val="hr-HR"/>
        </w:rPr>
        <w:t>000,00 kn</w:t>
      </w:r>
      <w:r w:rsidR="007C7E64" w:rsidRPr="009677CC">
        <w:rPr>
          <w:bCs/>
          <w:sz w:val="22"/>
          <w:szCs w:val="22"/>
          <w:lang w:val="hr-HR"/>
        </w:rPr>
        <w:t xml:space="preserve"> za projekt </w:t>
      </w:r>
      <w:r w:rsidR="000C04A8" w:rsidRPr="009677CC">
        <w:rPr>
          <w:bCs/>
          <w:sz w:val="22"/>
          <w:szCs w:val="22"/>
          <w:lang w:val="hr-HR"/>
        </w:rPr>
        <w:t>Požeške bolte</w:t>
      </w:r>
      <w:r w:rsidR="00AA0F8E" w:rsidRPr="009677CC">
        <w:rPr>
          <w:bCs/>
          <w:sz w:val="22"/>
          <w:szCs w:val="22"/>
          <w:lang w:val="hr-HR"/>
        </w:rPr>
        <w:t xml:space="preserve">, </w:t>
      </w:r>
      <w:r w:rsidR="0085090F"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prijenosa između proračunskih korisnika istog proračuna za </w:t>
      </w:r>
      <w:r w:rsidR="0085090F" w:rsidRPr="009677CC">
        <w:rPr>
          <w:bCs/>
          <w:sz w:val="22"/>
          <w:szCs w:val="22"/>
          <w:lang w:val="hr-HR"/>
        </w:rPr>
        <w:t>68</w:t>
      </w:r>
      <w:r w:rsidR="00A60448" w:rsidRPr="009677CC">
        <w:rPr>
          <w:bCs/>
          <w:sz w:val="22"/>
          <w:szCs w:val="22"/>
          <w:lang w:val="hr-HR"/>
        </w:rPr>
        <w:t>6.347</w:t>
      </w:r>
      <w:r w:rsidR="00AA0F8E" w:rsidRPr="009677CC">
        <w:rPr>
          <w:bCs/>
          <w:sz w:val="22"/>
          <w:szCs w:val="22"/>
          <w:lang w:val="hr-HR"/>
        </w:rPr>
        <w:t xml:space="preserve">,00 kn zbog projekta Požeški </w:t>
      </w:r>
      <w:proofErr w:type="spellStart"/>
      <w:r w:rsidR="00AA0F8E" w:rsidRPr="009677CC">
        <w:rPr>
          <w:bCs/>
          <w:sz w:val="22"/>
          <w:szCs w:val="22"/>
          <w:lang w:val="hr-HR"/>
        </w:rPr>
        <w:t>limači</w:t>
      </w:r>
      <w:proofErr w:type="spellEnd"/>
      <w:r w:rsidR="00A60448" w:rsidRPr="009677CC">
        <w:rPr>
          <w:bCs/>
          <w:sz w:val="22"/>
          <w:szCs w:val="22"/>
          <w:lang w:val="hr-HR"/>
        </w:rPr>
        <w:t xml:space="preserve">, </w:t>
      </w:r>
      <w:r w:rsidR="00AA0F8E" w:rsidRPr="009677CC">
        <w:rPr>
          <w:bCs/>
          <w:sz w:val="22"/>
          <w:szCs w:val="22"/>
          <w:lang w:val="hr-HR"/>
        </w:rPr>
        <w:t>Naša školska užina II</w:t>
      </w:r>
      <w:r w:rsidR="007C7E64" w:rsidRPr="009677CC">
        <w:rPr>
          <w:bCs/>
          <w:sz w:val="22"/>
          <w:szCs w:val="22"/>
          <w:lang w:val="hr-HR"/>
        </w:rPr>
        <w:t xml:space="preserve"> </w:t>
      </w:r>
      <w:r w:rsidR="00A60448" w:rsidRPr="009677CC">
        <w:rPr>
          <w:bCs/>
          <w:sz w:val="22"/>
          <w:szCs w:val="22"/>
          <w:lang w:val="hr-HR"/>
        </w:rPr>
        <w:t>i Požeške bolte</w:t>
      </w:r>
      <w:r w:rsidR="00AA0F8E" w:rsidRPr="009677CC">
        <w:rPr>
          <w:bCs/>
          <w:sz w:val="22"/>
          <w:szCs w:val="22"/>
          <w:lang w:val="hr-HR"/>
        </w:rPr>
        <w:t>.),</w:t>
      </w:r>
    </w:p>
    <w:p w14:paraId="5247E6AE" w14:textId="2F1EA69D" w:rsidR="00AA0F8E" w:rsidRPr="009677CC" w:rsidRDefault="00423FA9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povećanje</w:t>
      </w:r>
      <w:r w:rsidR="00AA0F8E" w:rsidRPr="009677CC">
        <w:rPr>
          <w:bCs/>
          <w:sz w:val="22"/>
          <w:szCs w:val="22"/>
          <w:lang w:val="hr-HR"/>
        </w:rPr>
        <w:t xml:space="preserve"> naknade građanima i kućanstvima iz proračuna za</w:t>
      </w:r>
      <w:r w:rsidR="007C7E64" w:rsidRPr="009677CC">
        <w:rPr>
          <w:bCs/>
          <w:sz w:val="22"/>
          <w:szCs w:val="22"/>
          <w:lang w:val="hr-HR"/>
        </w:rPr>
        <w:t xml:space="preserve"> 1</w:t>
      </w:r>
      <w:r w:rsidRPr="009677CC">
        <w:rPr>
          <w:bCs/>
          <w:sz w:val="22"/>
          <w:szCs w:val="22"/>
          <w:lang w:val="hr-HR"/>
        </w:rPr>
        <w:t>2.090,</w:t>
      </w:r>
      <w:r w:rsidR="007C7E64" w:rsidRPr="009677CC">
        <w:rPr>
          <w:bCs/>
          <w:sz w:val="22"/>
          <w:szCs w:val="22"/>
          <w:lang w:val="hr-HR"/>
        </w:rPr>
        <w:t xml:space="preserve">00 kn, odnosno za </w:t>
      </w:r>
      <w:r w:rsidRPr="009677CC">
        <w:rPr>
          <w:bCs/>
          <w:sz w:val="22"/>
          <w:szCs w:val="22"/>
          <w:lang w:val="hr-HR"/>
        </w:rPr>
        <w:t>0,32</w:t>
      </w:r>
      <w:r w:rsidR="007C7E64" w:rsidRPr="009677CC">
        <w:rPr>
          <w:bCs/>
          <w:sz w:val="22"/>
          <w:szCs w:val="22"/>
          <w:lang w:val="hr-HR"/>
        </w:rPr>
        <w:t xml:space="preserve">%, radi procjene potrebnih </w:t>
      </w:r>
      <w:r w:rsidR="00591FD0" w:rsidRPr="009677CC">
        <w:rPr>
          <w:bCs/>
          <w:sz w:val="22"/>
          <w:szCs w:val="22"/>
          <w:lang w:val="hr-HR"/>
        </w:rPr>
        <w:t>rashoda za isplate kroz socijalni program, program subvencioniranja uklanjanja azbesta i druge programe kroz koje se dodjeljuju naknade građanima</w:t>
      </w:r>
      <w:r w:rsidR="00AA0F8E" w:rsidRPr="009677CC">
        <w:rPr>
          <w:bCs/>
          <w:sz w:val="22"/>
          <w:szCs w:val="22"/>
          <w:lang w:val="hr-HR"/>
        </w:rPr>
        <w:t>,</w:t>
      </w:r>
    </w:p>
    <w:p w14:paraId="544CCCE7" w14:textId="267407C3" w:rsidR="000F26A9" w:rsidRPr="009677CC" w:rsidRDefault="00423FA9" w:rsidP="006B2459">
      <w:pPr>
        <w:numPr>
          <w:ilvl w:val="0"/>
          <w:numId w:val="29"/>
        </w:num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>smanjenje</w:t>
      </w:r>
      <w:r w:rsidR="007C7E64" w:rsidRPr="009677CC">
        <w:rPr>
          <w:sz w:val="22"/>
          <w:szCs w:val="22"/>
          <w:lang w:val="hr-HR"/>
        </w:rPr>
        <w:t xml:space="preserve"> </w:t>
      </w:r>
      <w:r w:rsidR="00AA0F8E" w:rsidRPr="009677CC">
        <w:rPr>
          <w:sz w:val="22"/>
          <w:szCs w:val="22"/>
          <w:lang w:val="hr-HR"/>
        </w:rPr>
        <w:t xml:space="preserve">ostalih rashoda za </w:t>
      </w:r>
      <w:r w:rsidR="000B590C" w:rsidRPr="009677CC">
        <w:rPr>
          <w:sz w:val="22"/>
          <w:szCs w:val="22"/>
          <w:lang w:val="hr-HR"/>
        </w:rPr>
        <w:t>1.197.196</w:t>
      </w:r>
      <w:r w:rsidR="007C7E64" w:rsidRPr="009677CC">
        <w:rPr>
          <w:sz w:val="22"/>
          <w:szCs w:val="22"/>
          <w:lang w:val="hr-HR"/>
        </w:rPr>
        <w:t xml:space="preserve">,00 kn, odnosno za </w:t>
      </w:r>
      <w:r w:rsidRPr="009677CC">
        <w:rPr>
          <w:sz w:val="22"/>
          <w:szCs w:val="22"/>
          <w:lang w:val="hr-HR"/>
        </w:rPr>
        <w:t xml:space="preserve">4,21 </w:t>
      </w:r>
      <w:r w:rsidR="007C7E64" w:rsidRPr="009677CC">
        <w:rPr>
          <w:sz w:val="22"/>
          <w:szCs w:val="22"/>
          <w:lang w:val="hr-HR"/>
        </w:rPr>
        <w:t>%</w:t>
      </w:r>
      <w:r w:rsidR="00AA0F8E" w:rsidRPr="009677CC">
        <w:rPr>
          <w:sz w:val="22"/>
          <w:szCs w:val="22"/>
          <w:lang w:val="hr-HR"/>
        </w:rPr>
        <w:t xml:space="preserve"> i to:</w:t>
      </w:r>
      <w:r w:rsidR="00F53217" w:rsidRPr="009677CC">
        <w:rPr>
          <w:sz w:val="22"/>
          <w:szCs w:val="22"/>
          <w:lang w:val="hr-HR"/>
        </w:rPr>
        <w:t xml:space="preserve"> </w:t>
      </w:r>
      <w:r w:rsidR="000B590C" w:rsidRPr="009677CC">
        <w:rPr>
          <w:sz w:val="22"/>
          <w:szCs w:val="22"/>
          <w:lang w:val="hr-HR"/>
        </w:rPr>
        <w:t>smanjenje</w:t>
      </w:r>
      <w:r w:rsidR="00F53217" w:rsidRPr="009677CC">
        <w:rPr>
          <w:sz w:val="22"/>
          <w:szCs w:val="22"/>
          <w:lang w:val="hr-HR"/>
        </w:rPr>
        <w:t xml:space="preserve"> tekućih</w:t>
      </w:r>
      <w:r w:rsidR="00AA0F8E" w:rsidRPr="009677CC">
        <w:rPr>
          <w:sz w:val="22"/>
          <w:szCs w:val="22"/>
          <w:lang w:val="hr-HR"/>
        </w:rPr>
        <w:t xml:space="preserve"> donacija za </w:t>
      </w:r>
      <w:r w:rsidR="00F53217" w:rsidRPr="009677CC">
        <w:rPr>
          <w:sz w:val="22"/>
          <w:szCs w:val="22"/>
          <w:lang w:val="hr-HR"/>
        </w:rPr>
        <w:t>1</w:t>
      </w:r>
      <w:r w:rsidR="000B590C" w:rsidRPr="009677CC">
        <w:rPr>
          <w:sz w:val="22"/>
          <w:szCs w:val="22"/>
          <w:lang w:val="hr-HR"/>
        </w:rPr>
        <w:t>07.700</w:t>
      </w:r>
      <w:r w:rsidR="007C7E64" w:rsidRPr="009677CC">
        <w:rPr>
          <w:sz w:val="22"/>
          <w:szCs w:val="22"/>
          <w:lang w:val="hr-HR"/>
        </w:rPr>
        <w:t>,</w:t>
      </w:r>
      <w:r w:rsidR="00AA0F8E" w:rsidRPr="009677CC">
        <w:rPr>
          <w:sz w:val="22"/>
          <w:szCs w:val="22"/>
          <w:lang w:val="hr-HR"/>
        </w:rPr>
        <w:t>00 kn,</w:t>
      </w:r>
      <w:r w:rsidR="007C7E64" w:rsidRPr="009677CC">
        <w:rPr>
          <w:sz w:val="22"/>
          <w:szCs w:val="22"/>
          <w:lang w:val="hr-HR"/>
        </w:rPr>
        <w:t xml:space="preserve">  povećanje </w:t>
      </w:r>
      <w:r w:rsidR="00AA0F8E" w:rsidRPr="009677CC">
        <w:rPr>
          <w:sz w:val="22"/>
          <w:szCs w:val="22"/>
          <w:lang w:val="hr-HR"/>
        </w:rPr>
        <w:t xml:space="preserve"> kapitalnih donacija za </w:t>
      </w:r>
      <w:r w:rsidR="000B590C" w:rsidRPr="009677CC">
        <w:rPr>
          <w:sz w:val="22"/>
          <w:szCs w:val="22"/>
          <w:lang w:val="hr-HR"/>
        </w:rPr>
        <w:t>12.600</w:t>
      </w:r>
      <w:r w:rsidR="00AA0F8E" w:rsidRPr="009677CC">
        <w:rPr>
          <w:sz w:val="22"/>
          <w:szCs w:val="22"/>
          <w:lang w:val="hr-HR"/>
        </w:rPr>
        <w:t xml:space="preserve">,00 kn, </w:t>
      </w:r>
      <w:r w:rsidR="000B590C" w:rsidRPr="009677CC">
        <w:rPr>
          <w:sz w:val="22"/>
          <w:szCs w:val="22"/>
          <w:lang w:val="hr-HR"/>
        </w:rPr>
        <w:t>smanjenje</w:t>
      </w:r>
      <w:r w:rsidR="002E328C" w:rsidRPr="009677CC">
        <w:rPr>
          <w:sz w:val="22"/>
          <w:szCs w:val="22"/>
          <w:lang w:val="hr-HR"/>
        </w:rPr>
        <w:t xml:space="preserve"> rashoda za </w:t>
      </w:r>
      <w:r w:rsidR="000B590C" w:rsidRPr="009677CC">
        <w:rPr>
          <w:sz w:val="22"/>
          <w:szCs w:val="22"/>
          <w:lang w:val="hr-HR"/>
        </w:rPr>
        <w:t xml:space="preserve">naknade štete </w:t>
      </w:r>
      <w:r w:rsidR="002E328C" w:rsidRPr="009677CC">
        <w:rPr>
          <w:sz w:val="22"/>
          <w:szCs w:val="22"/>
          <w:lang w:val="hr-HR"/>
        </w:rPr>
        <w:t xml:space="preserve">uslijed elementarne nepogode </w:t>
      </w:r>
      <w:r w:rsidR="000B590C" w:rsidRPr="009677CC">
        <w:rPr>
          <w:sz w:val="22"/>
          <w:szCs w:val="22"/>
          <w:lang w:val="hr-HR"/>
        </w:rPr>
        <w:t>za 1.102.096,00 kn</w:t>
      </w:r>
      <w:r w:rsidR="002600BE" w:rsidRPr="009677CC">
        <w:rPr>
          <w:sz w:val="22"/>
          <w:szCs w:val="22"/>
          <w:lang w:val="hr-HR"/>
        </w:rPr>
        <w:t>.</w:t>
      </w:r>
    </w:p>
    <w:p w14:paraId="690EB0AA" w14:textId="77777777" w:rsidR="00EF1B82" w:rsidRPr="009677CC" w:rsidRDefault="00EF1B82" w:rsidP="0013724B">
      <w:pPr>
        <w:tabs>
          <w:tab w:val="left" w:pos="300"/>
        </w:tabs>
        <w:ind w:left="360"/>
        <w:contextualSpacing/>
        <w:jc w:val="both"/>
        <w:rPr>
          <w:sz w:val="22"/>
          <w:szCs w:val="22"/>
          <w:lang w:val="hr-HR"/>
        </w:rPr>
      </w:pPr>
    </w:p>
    <w:p w14:paraId="1D003667" w14:textId="076AAC4A" w:rsidR="000F26A9" w:rsidRPr="009677CC" w:rsidRDefault="000F26A9" w:rsidP="006B2459">
      <w:p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  <w:r w:rsidRPr="009677CC">
        <w:rPr>
          <w:sz w:val="22"/>
          <w:szCs w:val="22"/>
          <w:lang w:val="hr-HR"/>
        </w:rPr>
        <w:t xml:space="preserve">Plan i </w:t>
      </w:r>
      <w:r w:rsidR="00401E85" w:rsidRPr="009677CC">
        <w:rPr>
          <w:sz w:val="22"/>
          <w:szCs w:val="22"/>
          <w:lang w:val="hr-HR"/>
        </w:rPr>
        <w:t>promjena</w:t>
      </w:r>
      <w:r w:rsidRPr="009677CC">
        <w:rPr>
          <w:sz w:val="22"/>
          <w:szCs w:val="22"/>
          <w:lang w:val="hr-HR"/>
        </w:rPr>
        <w:t xml:space="preserve"> rashoda za nabavu nefinancijske imovine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375"/>
        <w:gridCol w:w="1560"/>
        <w:gridCol w:w="1559"/>
        <w:gridCol w:w="992"/>
        <w:gridCol w:w="1564"/>
      </w:tblGrid>
      <w:tr w:rsidR="009677CC" w:rsidRPr="009677CC" w14:paraId="2BE14E33" w14:textId="77777777" w:rsidTr="009677CC">
        <w:trPr>
          <w:trHeight w:val="300"/>
          <w:jc w:val="center"/>
        </w:trPr>
        <w:tc>
          <w:tcPr>
            <w:tcW w:w="589" w:type="dxa"/>
          </w:tcPr>
          <w:p w14:paraId="3F7B480A" w14:textId="77777777" w:rsidR="00412577" w:rsidRPr="009677CC" w:rsidRDefault="00412577" w:rsidP="006B2459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75" w:type="dxa"/>
            <w:vAlign w:val="center"/>
          </w:tcPr>
          <w:p w14:paraId="77878810" w14:textId="77777777" w:rsidR="00412577" w:rsidRPr="009677CC" w:rsidRDefault="00412577" w:rsidP="006B2459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257BC540" w14:textId="108956A8" w:rsidR="00412577" w:rsidRPr="009677CC" w:rsidRDefault="00412577" w:rsidP="006B2459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559" w:type="dxa"/>
          </w:tcPr>
          <w:p w14:paraId="184AF069" w14:textId="7FCE1C2E" w:rsidR="00412577" w:rsidRPr="009677CC" w:rsidRDefault="00412577" w:rsidP="006B2459">
            <w:pPr>
              <w:tabs>
                <w:tab w:val="left" w:pos="30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992" w:type="dxa"/>
          </w:tcPr>
          <w:p w14:paraId="0DF59C8D" w14:textId="2C2BED80" w:rsidR="00412577" w:rsidRPr="009677CC" w:rsidRDefault="00B20737" w:rsidP="006B2459">
            <w:pPr>
              <w:tabs>
                <w:tab w:val="left" w:pos="30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4" w:type="dxa"/>
          </w:tcPr>
          <w:p w14:paraId="22838DBD" w14:textId="4DA7A868" w:rsidR="00412577" w:rsidRPr="009677CC" w:rsidRDefault="00412577" w:rsidP="006B2459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12531477" w14:textId="77777777" w:rsidTr="009677CC">
        <w:trPr>
          <w:trHeight w:val="300"/>
          <w:jc w:val="center"/>
        </w:trPr>
        <w:tc>
          <w:tcPr>
            <w:tcW w:w="589" w:type="dxa"/>
            <w:hideMark/>
          </w:tcPr>
          <w:p w14:paraId="09A8E80F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75" w:type="dxa"/>
            <w:hideMark/>
          </w:tcPr>
          <w:p w14:paraId="2FDB347C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Rashodi za nabavu nefinancijske imovine</w:t>
            </w:r>
          </w:p>
        </w:tc>
        <w:tc>
          <w:tcPr>
            <w:tcW w:w="1560" w:type="dxa"/>
            <w:hideMark/>
          </w:tcPr>
          <w:p w14:paraId="077932E5" w14:textId="302F5E3E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28.926.018,00</w:t>
            </w:r>
          </w:p>
        </w:tc>
        <w:tc>
          <w:tcPr>
            <w:tcW w:w="1559" w:type="dxa"/>
            <w:hideMark/>
          </w:tcPr>
          <w:p w14:paraId="4FA2375C" w14:textId="53F21572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-8.707.670,00</w:t>
            </w:r>
          </w:p>
        </w:tc>
        <w:tc>
          <w:tcPr>
            <w:tcW w:w="992" w:type="dxa"/>
            <w:hideMark/>
          </w:tcPr>
          <w:p w14:paraId="1D3298CB" w14:textId="6DE983AF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-30,10%</w:t>
            </w:r>
          </w:p>
        </w:tc>
        <w:tc>
          <w:tcPr>
            <w:tcW w:w="1564" w:type="dxa"/>
            <w:hideMark/>
          </w:tcPr>
          <w:p w14:paraId="391C6B74" w14:textId="6B7B5434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20.218.348,00</w:t>
            </w:r>
          </w:p>
        </w:tc>
      </w:tr>
      <w:tr w:rsidR="009677CC" w:rsidRPr="009677CC" w14:paraId="2FFA50CC" w14:textId="77777777" w:rsidTr="009677CC">
        <w:trPr>
          <w:trHeight w:val="300"/>
          <w:jc w:val="center"/>
        </w:trPr>
        <w:tc>
          <w:tcPr>
            <w:tcW w:w="589" w:type="dxa"/>
            <w:hideMark/>
          </w:tcPr>
          <w:p w14:paraId="1844CC1C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375" w:type="dxa"/>
            <w:hideMark/>
          </w:tcPr>
          <w:p w14:paraId="22570E76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 xml:space="preserve">Rashodi za nabavu </w:t>
            </w:r>
            <w:proofErr w:type="spellStart"/>
            <w:r w:rsidRPr="009677CC">
              <w:rPr>
                <w:bCs/>
                <w:sz w:val="22"/>
                <w:szCs w:val="22"/>
                <w:lang w:val="hr-HR"/>
              </w:rPr>
              <w:t>neproizvedene</w:t>
            </w:r>
            <w:proofErr w:type="spellEnd"/>
            <w:r w:rsidRPr="009677CC">
              <w:rPr>
                <w:bCs/>
                <w:sz w:val="22"/>
                <w:szCs w:val="22"/>
                <w:lang w:val="hr-HR"/>
              </w:rPr>
              <w:t xml:space="preserve"> dugotrajne imovine</w:t>
            </w:r>
          </w:p>
        </w:tc>
        <w:tc>
          <w:tcPr>
            <w:tcW w:w="1560" w:type="dxa"/>
            <w:hideMark/>
          </w:tcPr>
          <w:p w14:paraId="00D298DE" w14:textId="2B25E2AF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302.000,00</w:t>
            </w:r>
          </w:p>
        </w:tc>
        <w:tc>
          <w:tcPr>
            <w:tcW w:w="1559" w:type="dxa"/>
            <w:hideMark/>
          </w:tcPr>
          <w:p w14:paraId="2A3F2184" w14:textId="4B6B67EC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300.000,00</w:t>
            </w:r>
          </w:p>
        </w:tc>
        <w:tc>
          <w:tcPr>
            <w:tcW w:w="992" w:type="dxa"/>
            <w:hideMark/>
          </w:tcPr>
          <w:p w14:paraId="52F58684" w14:textId="42EE4CA7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-99,34%</w:t>
            </w:r>
          </w:p>
        </w:tc>
        <w:tc>
          <w:tcPr>
            <w:tcW w:w="1564" w:type="dxa"/>
            <w:hideMark/>
          </w:tcPr>
          <w:p w14:paraId="303658D3" w14:textId="43FF93ED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2.000,00</w:t>
            </w:r>
          </w:p>
        </w:tc>
      </w:tr>
      <w:tr w:rsidR="009677CC" w:rsidRPr="009677CC" w14:paraId="46F7A41D" w14:textId="77777777" w:rsidTr="009677CC">
        <w:trPr>
          <w:trHeight w:val="300"/>
          <w:jc w:val="center"/>
        </w:trPr>
        <w:tc>
          <w:tcPr>
            <w:tcW w:w="589" w:type="dxa"/>
            <w:hideMark/>
          </w:tcPr>
          <w:p w14:paraId="7D402947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375" w:type="dxa"/>
            <w:hideMark/>
          </w:tcPr>
          <w:p w14:paraId="217C8C12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Rashodi za nabavu proizvedene dugotrajne imovine</w:t>
            </w:r>
          </w:p>
        </w:tc>
        <w:tc>
          <w:tcPr>
            <w:tcW w:w="1560" w:type="dxa"/>
            <w:hideMark/>
          </w:tcPr>
          <w:p w14:paraId="42164B02" w14:textId="37F338A2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11.462.357,00</w:t>
            </w:r>
          </w:p>
        </w:tc>
        <w:tc>
          <w:tcPr>
            <w:tcW w:w="1559" w:type="dxa"/>
            <w:hideMark/>
          </w:tcPr>
          <w:p w14:paraId="6C48559A" w14:textId="5AC26E67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- 3.443.570,00</w:t>
            </w:r>
          </w:p>
        </w:tc>
        <w:tc>
          <w:tcPr>
            <w:tcW w:w="992" w:type="dxa"/>
            <w:hideMark/>
          </w:tcPr>
          <w:p w14:paraId="2E08F8E5" w14:textId="480EABF9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-30,04%</w:t>
            </w:r>
          </w:p>
        </w:tc>
        <w:tc>
          <w:tcPr>
            <w:tcW w:w="1564" w:type="dxa"/>
            <w:hideMark/>
          </w:tcPr>
          <w:p w14:paraId="29413E16" w14:textId="4760DA1B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8.018.787,00</w:t>
            </w:r>
          </w:p>
        </w:tc>
      </w:tr>
      <w:tr w:rsidR="009677CC" w:rsidRPr="009677CC" w14:paraId="77F12FEA" w14:textId="77777777" w:rsidTr="009677CC">
        <w:trPr>
          <w:trHeight w:val="300"/>
          <w:jc w:val="center"/>
        </w:trPr>
        <w:tc>
          <w:tcPr>
            <w:tcW w:w="589" w:type="dxa"/>
            <w:hideMark/>
          </w:tcPr>
          <w:p w14:paraId="0428DF9D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375" w:type="dxa"/>
            <w:hideMark/>
          </w:tcPr>
          <w:p w14:paraId="2F1735CB" w14:textId="77777777" w:rsidR="00E17F22" w:rsidRPr="009677CC" w:rsidRDefault="00E17F22" w:rsidP="00E17F22">
            <w:pPr>
              <w:tabs>
                <w:tab w:val="left" w:pos="300"/>
              </w:tabs>
              <w:contextualSpacing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Rashodi za dodatna ulaganja na nefinancijskoj imovini</w:t>
            </w:r>
          </w:p>
        </w:tc>
        <w:tc>
          <w:tcPr>
            <w:tcW w:w="1560" w:type="dxa"/>
            <w:hideMark/>
          </w:tcPr>
          <w:p w14:paraId="28778996" w14:textId="412BAA8B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17.161.661,00</w:t>
            </w:r>
          </w:p>
        </w:tc>
        <w:tc>
          <w:tcPr>
            <w:tcW w:w="1559" w:type="dxa"/>
            <w:hideMark/>
          </w:tcPr>
          <w:p w14:paraId="0CE5F4FF" w14:textId="15B8C4C2" w:rsidR="00E17F22" w:rsidRPr="009677CC" w:rsidRDefault="00EA48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 xml:space="preserve">- </w:t>
            </w:r>
            <w:r w:rsidR="00E17F22" w:rsidRPr="009677CC">
              <w:rPr>
                <w:bCs/>
                <w:sz w:val="22"/>
                <w:szCs w:val="22"/>
              </w:rPr>
              <w:t>4.964.100,00</w:t>
            </w:r>
          </w:p>
        </w:tc>
        <w:tc>
          <w:tcPr>
            <w:tcW w:w="992" w:type="dxa"/>
            <w:hideMark/>
          </w:tcPr>
          <w:p w14:paraId="6CF48245" w14:textId="36177AC2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-28.93%</w:t>
            </w:r>
          </w:p>
        </w:tc>
        <w:tc>
          <w:tcPr>
            <w:tcW w:w="1564" w:type="dxa"/>
            <w:hideMark/>
          </w:tcPr>
          <w:p w14:paraId="7B3694A3" w14:textId="7D97CFEA" w:rsidR="00E17F22" w:rsidRPr="009677CC" w:rsidRDefault="00E17F22" w:rsidP="00E17F22">
            <w:pPr>
              <w:tabs>
                <w:tab w:val="left" w:pos="30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12.197.561,00</w:t>
            </w:r>
          </w:p>
        </w:tc>
      </w:tr>
    </w:tbl>
    <w:p w14:paraId="2C33CDB5" w14:textId="77777777" w:rsidR="000F26A9" w:rsidRPr="009677CC" w:rsidRDefault="000F26A9" w:rsidP="006B2459">
      <w:pPr>
        <w:tabs>
          <w:tab w:val="left" w:pos="300"/>
        </w:tabs>
        <w:contextualSpacing/>
        <w:jc w:val="both"/>
        <w:rPr>
          <w:sz w:val="22"/>
          <w:szCs w:val="22"/>
          <w:lang w:val="hr-HR"/>
        </w:rPr>
      </w:pPr>
    </w:p>
    <w:p w14:paraId="5636C5AE" w14:textId="0AEEB149" w:rsidR="00137706" w:rsidRPr="009677CC" w:rsidRDefault="00AA0F8E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za nabavu nefinancijske imovine </w:t>
      </w:r>
      <w:r w:rsidR="000F26A9" w:rsidRPr="009677CC">
        <w:rPr>
          <w:bCs/>
          <w:sz w:val="22"/>
          <w:szCs w:val="22"/>
          <w:lang w:val="hr-HR"/>
        </w:rPr>
        <w:t xml:space="preserve">manji </w:t>
      </w:r>
      <w:r w:rsidRPr="009677CC">
        <w:rPr>
          <w:bCs/>
          <w:sz w:val="22"/>
          <w:szCs w:val="22"/>
          <w:lang w:val="hr-HR"/>
        </w:rPr>
        <w:t xml:space="preserve">su za </w:t>
      </w:r>
      <w:r w:rsidR="002600BE" w:rsidRPr="009677CC">
        <w:rPr>
          <w:bCs/>
          <w:sz w:val="22"/>
          <w:szCs w:val="22"/>
          <w:lang w:val="hr-HR"/>
        </w:rPr>
        <w:t>8.707.670</w:t>
      </w:r>
      <w:r w:rsidR="000F26A9" w:rsidRPr="009677CC">
        <w:rPr>
          <w:bCs/>
          <w:sz w:val="22"/>
          <w:szCs w:val="22"/>
          <w:lang w:val="hr-HR"/>
        </w:rPr>
        <w:t>,00 kn</w:t>
      </w:r>
      <w:r w:rsidR="00137706" w:rsidRPr="009677CC">
        <w:rPr>
          <w:bCs/>
          <w:sz w:val="22"/>
          <w:szCs w:val="22"/>
          <w:lang w:val="hr-HR"/>
        </w:rPr>
        <w:t xml:space="preserve"> ili</w:t>
      </w:r>
      <w:r w:rsidR="000F26A9" w:rsidRPr="009677CC">
        <w:rPr>
          <w:bCs/>
          <w:sz w:val="22"/>
          <w:szCs w:val="22"/>
          <w:lang w:val="hr-HR"/>
        </w:rPr>
        <w:t xml:space="preserve"> za </w:t>
      </w:r>
      <w:r w:rsidR="002600BE" w:rsidRPr="009677CC">
        <w:rPr>
          <w:bCs/>
          <w:sz w:val="22"/>
          <w:szCs w:val="22"/>
          <w:lang w:val="hr-HR"/>
        </w:rPr>
        <w:t xml:space="preserve">30,10 </w:t>
      </w:r>
      <w:r w:rsidRPr="009677CC">
        <w:rPr>
          <w:bCs/>
          <w:sz w:val="22"/>
          <w:szCs w:val="22"/>
          <w:lang w:val="hr-HR"/>
        </w:rPr>
        <w:t>% u odnosu na planirane</w:t>
      </w:r>
      <w:r w:rsidR="00137706" w:rsidRPr="009677CC">
        <w:rPr>
          <w:bCs/>
          <w:sz w:val="22"/>
          <w:szCs w:val="22"/>
          <w:lang w:val="hr-HR"/>
        </w:rPr>
        <w:t xml:space="preserve"> i sada iznose 2</w:t>
      </w:r>
      <w:r w:rsidR="002600BE" w:rsidRPr="009677CC">
        <w:rPr>
          <w:bCs/>
          <w:sz w:val="22"/>
          <w:szCs w:val="22"/>
          <w:lang w:val="hr-HR"/>
        </w:rPr>
        <w:t>0.218.348</w:t>
      </w:r>
      <w:r w:rsidR="00137706" w:rsidRPr="009677CC">
        <w:rPr>
          <w:bCs/>
          <w:sz w:val="22"/>
          <w:szCs w:val="22"/>
          <w:lang w:val="hr-HR"/>
        </w:rPr>
        <w:t>,00 kn. Promjene se odnose na slijedeće:</w:t>
      </w:r>
    </w:p>
    <w:p w14:paraId="5AD5CB5F" w14:textId="4A3A1007" w:rsidR="00137706" w:rsidRPr="009677CC" w:rsidRDefault="00137706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lastRenderedPageBreak/>
        <w:t>-</w:t>
      </w:r>
      <w:r w:rsidR="00B130F5" w:rsidRPr="009677CC">
        <w:rPr>
          <w:bCs/>
          <w:sz w:val="22"/>
          <w:szCs w:val="22"/>
          <w:lang w:val="hr-HR"/>
        </w:rPr>
        <w:t>smanjenje</w:t>
      </w:r>
      <w:r w:rsidRPr="009677CC">
        <w:rPr>
          <w:bCs/>
          <w:sz w:val="22"/>
          <w:szCs w:val="22"/>
          <w:lang w:val="hr-HR"/>
        </w:rPr>
        <w:t xml:space="preserve"> ra</w:t>
      </w:r>
      <w:r w:rsidR="00AA0F8E" w:rsidRPr="009677CC">
        <w:rPr>
          <w:bCs/>
          <w:sz w:val="22"/>
          <w:szCs w:val="22"/>
          <w:lang w:val="hr-HR"/>
        </w:rPr>
        <w:t xml:space="preserve">shoda za nabavu </w:t>
      </w:r>
      <w:proofErr w:type="spellStart"/>
      <w:r w:rsidR="00AA0F8E" w:rsidRPr="009677CC">
        <w:rPr>
          <w:bCs/>
          <w:sz w:val="22"/>
          <w:szCs w:val="22"/>
          <w:lang w:val="hr-HR"/>
        </w:rPr>
        <w:t>neproizvedene</w:t>
      </w:r>
      <w:proofErr w:type="spellEnd"/>
      <w:r w:rsidR="00AA0F8E" w:rsidRPr="009677CC">
        <w:rPr>
          <w:bCs/>
          <w:sz w:val="22"/>
          <w:szCs w:val="22"/>
          <w:lang w:val="hr-HR"/>
        </w:rPr>
        <w:t xml:space="preserve"> dugotrajne imovine za </w:t>
      </w:r>
      <w:r w:rsidR="00B130F5" w:rsidRPr="009677CC">
        <w:rPr>
          <w:bCs/>
          <w:sz w:val="22"/>
          <w:szCs w:val="22"/>
          <w:lang w:val="hr-HR"/>
        </w:rPr>
        <w:t>300</w:t>
      </w:r>
      <w:r w:rsidR="006962AF" w:rsidRPr="009677CC">
        <w:rPr>
          <w:bCs/>
          <w:sz w:val="22"/>
          <w:szCs w:val="22"/>
          <w:lang w:val="hr-HR"/>
        </w:rPr>
        <w:t>.000,00 kn</w:t>
      </w:r>
      <w:r w:rsidRPr="009677CC">
        <w:rPr>
          <w:bCs/>
          <w:sz w:val="22"/>
          <w:szCs w:val="22"/>
          <w:lang w:val="hr-HR"/>
        </w:rPr>
        <w:t xml:space="preserve"> za projekt Otkup zemljišta  za izgradnju dvorane uz OŠ Antuna </w:t>
      </w:r>
      <w:proofErr w:type="spellStart"/>
      <w:r w:rsidRPr="009677CC">
        <w:rPr>
          <w:bCs/>
          <w:sz w:val="22"/>
          <w:szCs w:val="22"/>
          <w:lang w:val="hr-HR"/>
        </w:rPr>
        <w:t>Kanižlića</w:t>
      </w:r>
      <w:proofErr w:type="spellEnd"/>
      <w:r w:rsidR="006962AF" w:rsidRPr="009677CC">
        <w:rPr>
          <w:bCs/>
          <w:sz w:val="22"/>
          <w:szCs w:val="22"/>
          <w:lang w:val="hr-HR"/>
        </w:rPr>
        <w:t xml:space="preserve">, </w:t>
      </w:r>
    </w:p>
    <w:p w14:paraId="09F0834F" w14:textId="2F49B7E6" w:rsidR="00137706" w:rsidRPr="009677CC" w:rsidRDefault="00137706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6962AF" w:rsidRPr="009677CC">
        <w:rPr>
          <w:bCs/>
          <w:sz w:val="22"/>
          <w:szCs w:val="22"/>
          <w:lang w:val="hr-HR"/>
        </w:rPr>
        <w:t>smanjenje</w:t>
      </w:r>
      <w:r w:rsidR="00AA0F8E" w:rsidRPr="009677CC">
        <w:rPr>
          <w:bCs/>
          <w:sz w:val="22"/>
          <w:szCs w:val="22"/>
          <w:lang w:val="hr-HR"/>
        </w:rPr>
        <w:t xml:space="preserve"> rashoda za nabavu proizvedene dugotrajne imovine za</w:t>
      </w:r>
      <w:r w:rsidR="006962AF" w:rsidRPr="009677CC">
        <w:rPr>
          <w:bCs/>
          <w:sz w:val="22"/>
          <w:szCs w:val="22"/>
          <w:lang w:val="hr-HR"/>
        </w:rPr>
        <w:t xml:space="preserve"> </w:t>
      </w:r>
      <w:r w:rsidR="00441363" w:rsidRPr="009677CC">
        <w:rPr>
          <w:bCs/>
          <w:sz w:val="22"/>
          <w:szCs w:val="22"/>
          <w:lang w:val="hr-HR"/>
        </w:rPr>
        <w:t>3.443.570</w:t>
      </w:r>
      <w:r w:rsidR="006962AF" w:rsidRPr="009677CC">
        <w:rPr>
          <w:bCs/>
          <w:sz w:val="22"/>
          <w:szCs w:val="22"/>
          <w:lang w:val="hr-HR"/>
        </w:rPr>
        <w:t>,</w:t>
      </w:r>
      <w:r w:rsidR="00AA0F8E" w:rsidRPr="009677CC">
        <w:rPr>
          <w:bCs/>
          <w:sz w:val="22"/>
          <w:szCs w:val="22"/>
          <w:lang w:val="hr-HR"/>
        </w:rPr>
        <w:t>00 kn</w:t>
      </w:r>
      <w:r w:rsidRPr="009677CC">
        <w:rPr>
          <w:bCs/>
          <w:sz w:val="22"/>
          <w:szCs w:val="22"/>
          <w:lang w:val="hr-HR"/>
        </w:rPr>
        <w:t>. Smanjenje ovih rashoda odnosi se na</w:t>
      </w:r>
      <w:r w:rsidR="00A4392F" w:rsidRPr="009677CC">
        <w:rPr>
          <w:bCs/>
          <w:sz w:val="22"/>
          <w:szCs w:val="22"/>
          <w:lang w:val="hr-HR"/>
        </w:rPr>
        <w:t>jvećim</w:t>
      </w:r>
      <w:r w:rsidRPr="009677CC">
        <w:rPr>
          <w:bCs/>
          <w:sz w:val="22"/>
          <w:szCs w:val="22"/>
          <w:lang w:val="hr-HR"/>
        </w:rPr>
        <w:t xml:space="preserve"> </w:t>
      </w:r>
      <w:r w:rsidR="00A4392F" w:rsidRPr="009677CC">
        <w:rPr>
          <w:bCs/>
          <w:sz w:val="22"/>
          <w:szCs w:val="22"/>
          <w:lang w:val="hr-HR"/>
        </w:rPr>
        <w:t xml:space="preserve">dijelom na </w:t>
      </w:r>
      <w:r w:rsidRPr="009677CC">
        <w:rPr>
          <w:bCs/>
          <w:sz w:val="22"/>
          <w:szCs w:val="22"/>
          <w:lang w:val="hr-HR"/>
        </w:rPr>
        <w:t>projek</w:t>
      </w:r>
      <w:r w:rsidR="00A4392F" w:rsidRPr="009677CC">
        <w:rPr>
          <w:bCs/>
          <w:sz w:val="22"/>
          <w:szCs w:val="22"/>
          <w:lang w:val="hr-HR"/>
        </w:rPr>
        <w:t>t Požeške bolte</w:t>
      </w:r>
      <w:r w:rsidRPr="009677CC">
        <w:rPr>
          <w:bCs/>
          <w:sz w:val="22"/>
          <w:szCs w:val="22"/>
          <w:lang w:val="hr-HR"/>
        </w:rPr>
        <w:t xml:space="preserve"> koji su planirani iz pomoći uz sufinanciranje vlastitih izvora Grada</w:t>
      </w:r>
      <w:r w:rsidR="004A7C7A" w:rsidRPr="009677CC">
        <w:rPr>
          <w:bCs/>
          <w:sz w:val="22"/>
          <w:szCs w:val="22"/>
          <w:lang w:val="hr-HR"/>
        </w:rPr>
        <w:t xml:space="preserve"> za nabavu opreme ili za izgradnju objekata</w:t>
      </w:r>
      <w:r w:rsidRPr="009677CC">
        <w:rPr>
          <w:bCs/>
          <w:sz w:val="22"/>
          <w:szCs w:val="22"/>
          <w:lang w:val="hr-HR"/>
        </w:rPr>
        <w:t xml:space="preserve">. </w:t>
      </w:r>
    </w:p>
    <w:p w14:paraId="112F6B01" w14:textId="049A7A3A" w:rsidR="00AA0F8E" w:rsidRPr="009677CC" w:rsidRDefault="00137706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-smanjenje </w:t>
      </w:r>
      <w:r w:rsidR="00AA0F8E" w:rsidRPr="009677CC">
        <w:rPr>
          <w:bCs/>
          <w:sz w:val="22"/>
          <w:szCs w:val="22"/>
          <w:lang w:val="hr-HR"/>
        </w:rPr>
        <w:t xml:space="preserve">rashoda za dodatna ulaganja na nefinancijskoj imovini za </w:t>
      </w:r>
      <w:r w:rsidR="00441363" w:rsidRPr="009677CC">
        <w:rPr>
          <w:bCs/>
          <w:sz w:val="22"/>
          <w:szCs w:val="22"/>
          <w:lang w:val="hr-HR"/>
        </w:rPr>
        <w:t>4.964.100</w:t>
      </w:r>
      <w:r w:rsidR="006962AF" w:rsidRPr="009677CC">
        <w:rPr>
          <w:bCs/>
          <w:sz w:val="22"/>
          <w:szCs w:val="22"/>
          <w:lang w:val="hr-HR"/>
        </w:rPr>
        <w:t>,</w:t>
      </w:r>
      <w:r w:rsidR="00AA0F8E" w:rsidRPr="009677CC">
        <w:rPr>
          <w:bCs/>
          <w:sz w:val="22"/>
          <w:szCs w:val="22"/>
          <w:lang w:val="hr-HR"/>
        </w:rPr>
        <w:t>00 kn</w:t>
      </w:r>
      <w:r w:rsidR="0013134D" w:rsidRPr="009677CC">
        <w:rPr>
          <w:bCs/>
          <w:sz w:val="22"/>
          <w:szCs w:val="22"/>
          <w:lang w:val="hr-HR"/>
        </w:rPr>
        <w:t>. Smanjenje ovih rashoda odnosi se na</w:t>
      </w:r>
      <w:r w:rsidR="000C04A8" w:rsidRPr="009677CC">
        <w:rPr>
          <w:bCs/>
          <w:sz w:val="22"/>
          <w:szCs w:val="22"/>
          <w:lang w:val="hr-HR"/>
        </w:rPr>
        <w:t>jvećim dijelom na</w:t>
      </w:r>
      <w:r w:rsidR="0013134D" w:rsidRPr="009677CC">
        <w:rPr>
          <w:bCs/>
          <w:sz w:val="22"/>
          <w:szCs w:val="22"/>
          <w:lang w:val="hr-HR"/>
        </w:rPr>
        <w:t xml:space="preserve"> projek</w:t>
      </w:r>
      <w:r w:rsidR="000C04A8" w:rsidRPr="009677CC">
        <w:rPr>
          <w:bCs/>
          <w:sz w:val="22"/>
          <w:szCs w:val="22"/>
          <w:lang w:val="hr-HR"/>
        </w:rPr>
        <w:t xml:space="preserve">t Požeške bolte </w:t>
      </w:r>
      <w:r w:rsidR="0013134D" w:rsidRPr="009677CC">
        <w:rPr>
          <w:bCs/>
          <w:sz w:val="22"/>
          <w:szCs w:val="22"/>
          <w:lang w:val="hr-HR"/>
        </w:rPr>
        <w:t xml:space="preserve"> koji </w:t>
      </w:r>
      <w:r w:rsidR="000C04A8" w:rsidRPr="009677CC">
        <w:rPr>
          <w:bCs/>
          <w:sz w:val="22"/>
          <w:szCs w:val="22"/>
          <w:lang w:val="hr-HR"/>
        </w:rPr>
        <w:t>je</w:t>
      </w:r>
      <w:r w:rsidR="0013134D" w:rsidRPr="009677CC">
        <w:rPr>
          <w:bCs/>
          <w:sz w:val="22"/>
          <w:szCs w:val="22"/>
          <w:lang w:val="hr-HR"/>
        </w:rPr>
        <w:t xml:space="preserve"> planira</w:t>
      </w:r>
      <w:r w:rsidR="000C04A8" w:rsidRPr="009677CC">
        <w:rPr>
          <w:bCs/>
          <w:sz w:val="22"/>
          <w:szCs w:val="22"/>
          <w:lang w:val="hr-HR"/>
        </w:rPr>
        <w:t>n</w:t>
      </w:r>
      <w:r w:rsidR="0013134D" w:rsidRPr="009677CC">
        <w:rPr>
          <w:bCs/>
          <w:sz w:val="22"/>
          <w:szCs w:val="22"/>
          <w:lang w:val="hr-HR"/>
        </w:rPr>
        <w:t xml:space="preserve"> iz pomoći</w:t>
      </w:r>
      <w:r w:rsidR="004A7C7A" w:rsidRPr="009677CC">
        <w:rPr>
          <w:bCs/>
          <w:sz w:val="22"/>
          <w:szCs w:val="22"/>
          <w:lang w:val="hr-HR"/>
        </w:rPr>
        <w:t xml:space="preserve"> i </w:t>
      </w:r>
      <w:r w:rsidR="0013134D" w:rsidRPr="009677CC">
        <w:rPr>
          <w:bCs/>
          <w:sz w:val="22"/>
          <w:szCs w:val="22"/>
          <w:lang w:val="hr-HR"/>
        </w:rPr>
        <w:t>uz sufinanciranje Grada</w:t>
      </w:r>
      <w:r w:rsidR="004A7C7A" w:rsidRPr="009677CC">
        <w:rPr>
          <w:bCs/>
          <w:sz w:val="22"/>
          <w:szCs w:val="22"/>
          <w:lang w:val="hr-HR"/>
        </w:rPr>
        <w:t xml:space="preserve"> za dodatna ulaganja na objektima</w:t>
      </w:r>
      <w:r w:rsidR="0013134D" w:rsidRPr="009677CC">
        <w:rPr>
          <w:bCs/>
          <w:sz w:val="22"/>
          <w:szCs w:val="22"/>
          <w:lang w:val="hr-HR"/>
        </w:rPr>
        <w:t xml:space="preserve">. </w:t>
      </w:r>
    </w:p>
    <w:p w14:paraId="6328BE75" w14:textId="6C48164A" w:rsidR="00AA0F8E" w:rsidRPr="009677CC" w:rsidRDefault="00AA0F8E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12849DBC" w14:textId="5D9EBCDD" w:rsidR="006962AF" w:rsidRPr="009677CC" w:rsidRDefault="006962AF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Plan i </w:t>
      </w:r>
      <w:r w:rsidR="00EF1B82" w:rsidRPr="009677CC">
        <w:rPr>
          <w:bCs/>
          <w:sz w:val="22"/>
          <w:szCs w:val="22"/>
          <w:lang w:val="hr-HR"/>
        </w:rPr>
        <w:t>promjena</w:t>
      </w:r>
      <w:r w:rsidRPr="009677CC">
        <w:rPr>
          <w:bCs/>
          <w:sz w:val="22"/>
          <w:szCs w:val="22"/>
          <w:lang w:val="hr-HR"/>
        </w:rPr>
        <w:t xml:space="preserve"> primitaka i izdataka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3376"/>
        <w:gridCol w:w="1560"/>
        <w:gridCol w:w="1559"/>
        <w:gridCol w:w="992"/>
        <w:gridCol w:w="1564"/>
      </w:tblGrid>
      <w:tr w:rsidR="009677CC" w:rsidRPr="009677CC" w14:paraId="68D668FB" w14:textId="77777777" w:rsidTr="009677CC">
        <w:trPr>
          <w:trHeight w:val="300"/>
          <w:jc w:val="center"/>
        </w:trPr>
        <w:tc>
          <w:tcPr>
            <w:tcW w:w="588" w:type="dxa"/>
            <w:vAlign w:val="center"/>
          </w:tcPr>
          <w:p w14:paraId="4A0BF5C8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3376" w:type="dxa"/>
            <w:vAlign w:val="center"/>
          </w:tcPr>
          <w:p w14:paraId="47E0C58F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1507D8DE" w14:textId="40C35B0B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559" w:type="dxa"/>
            <w:vAlign w:val="center"/>
          </w:tcPr>
          <w:p w14:paraId="69176EEC" w14:textId="21889522" w:rsidR="00412577" w:rsidRPr="009677CC" w:rsidRDefault="00412577" w:rsidP="006B2459">
            <w:pPr>
              <w:autoSpaceDE w:val="0"/>
              <w:jc w:val="center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992" w:type="dxa"/>
            <w:vAlign w:val="center"/>
          </w:tcPr>
          <w:p w14:paraId="43074F5E" w14:textId="4A761034" w:rsidR="00412577" w:rsidRPr="009677CC" w:rsidRDefault="002C093F" w:rsidP="006B2459">
            <w:pPr>
              <w:autoSpaceDE w:val="0"/>
              <w:jc w:val="center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</w:tcPr>
          <w:p w14:paraId="0A7C97C0" w14:textId="6A456FB6" w:rsidR="00412577" w:rsidRPr="009677CC" w:rsidRDefault="00412577" w:rsidP="006B2459">
            <w:pPr>
              <w:autoSpaceDE w:val="0"/>
              <w:jc w:val="center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3BDFA975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5967F519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3376" w:type="dxa"/>
            <w:vAlign w:val="center"/>
            <w:hideMark/>
          </w:tcPr>
          <w:p w14:paraId="0432B1FA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Primici od financijske imovine i zaduživanja</w:t>
            </w:r>
          </w:p>
        </w:tc>
        <w:tc>
          <w:tcPr>
            <w:tcW w:w="1560" w:type="dxa"/>
            <w:vAlign w:val="center"/>
            <w:hideMark/>
          </w:tcPr>
          <w:p w14:paraId="27E27AE5" w14:textId="095BA72F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20.000,00</w:t>
            </w:r>
          </w:p>
        </w:tc>
        <w:tc>
          <w:tcPr>
            <w:tcW w:w="1559" w:type="dxa"/>
            <w:vAlign w:val="center"/>
            <w:hideMark/>
          </w:tcPr>
          <w:p w14:paraId="36916A13" w14:textId="4C2142F4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039F2E4D" w14:textId="0C5B2504" w:rsidR="00412577" w:rsidRPr="009677CC" w:rsidRDefault="006C425E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0CBFF9D2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20.000,00</w:t>
            </w:r>
          </w:p>
        </w:tc>
      </w:tr>
      <w:tr w:rsidR="009677CC" w:rsidRPr="009677CC" w14:paraId="0EFF3491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0E74C1E0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81</w:t>
            </w:r>
          </w:p>
        </w:tc>
        <w:tc>
          <w:tcPr>
            <w:tcW w:w="3376" w:type="dxa"/>
            <w:vAlign w:val="center"/>
            <w:hideMark/>
          </w:tcPr>
          <w:p w14:paraId="303E7615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Primljeni povrati glavnica danih zajmova i depozita</w:t>
            </w:r>
          </w:p>
        </w:tc>
        <w:tc>
          <w:tcPr>
            <w:tcW w:w="1560" w:type="dxa"/>
            <w:vAlign w:val="center"/>
            <w:hideMark/>
          </w:tcPr>
          <w:p w14:paraId="6744D6F2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20.000,00</w:t>
            </w:r>
          </w:p>
        </w:tc>
        <w:tc>
          <w:tcPr>
            <w:tcW w:w="1559" w:type="dxa"/>
            <w:vAlign w:val="center"/>
            <w:hideMark/>
          </w:tcPr>
          <w:p w14:paraId="56F70184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5D020B9A" w14:textId="0A2D2D5B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</w:t>
            </w:r>
            <w:r w:rsidR="006C425E" w:rsidRPr="009677CC">
              <w:rPr>
                <w:bCs/>
                <w:sz w:val="22"/>
                <w:szCs w:val="22"/>
                <w:lang w:val="hr-HR"/>
              </w:rPr>
              <w:t>,</w:t>
            </w:r>
            <w:r w:rsidRPr="009677CC">
              <w:rPr>
                <w:bCs/>
                <w:sz w:val="22"/>
                <w:szCs w:val="22"/>
                <w:lang w:val="hr-HR"/>
              </w:rPr>
              <w:t>0%</w:t>
            </w:r>
          </w:p>
        </w:tc>
        <w:tc>
          <w:tcPr>
            <w:tcW w:w="1564" w:type="dxa"/>
            <w:vAlign w:val="center"/>
            <w:hideMark/>
          </w:tcPr>
          <w:p w14:paraId="32840D4E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20.000,00</w:t>
            </w:r>
          </w:p>
        </w:tc>
      </w:tr>
      <w:tr w:rsidR="009677CC" w:rsidRPr="009677CC" w14:paraId="1325DF09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0CF08277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84</w:t>
            </w:r>
          </w:p>
        </w:tc>
        <w:tc>
          <w:tcPr>
            <w:tcW w:w="3376" w:type="dxa"/>
            <w:vAlign w:val="center"/>
            <w:hideMark/>
          </w:tcPr>
          <w:p w14:paraId="01C9D568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Primici od zaduživanja</w:t>
            </w:r>
          </w:p>
        </w:tc>
        <w:tc>
          <w:tcPr>
            <w:tcW w:w="1560" w:type="dxa"/>
            <w:vAlign w:val="center"/>
            <w:hideMark/>
          </w:tcPr>
          <w:p w14:paraId="370C9B29" w14:textId="2D2E2C3D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79A941B5" w14:textId="3478BB9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6D4AB2B0" w14:textId="639BD170" w:rsidR="00412577" w:rsidRPr="009677CC" w:rsidRDefault="006C425E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65B6068B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</w:tr>
      <w:tr w:rsidR="009677CC" w:rsidRPr="009677CC" w14:paraId="1A3E1BB2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2EEA1C42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842</w:t>
            </w:r>
          </w:p>
        </w:tc>
        <w:tc>
          <w:tcPr>
            <w:tcW w:w="3376" w:type="dxa"/>
            <w:vAlign w:val="center"/>
            <w:hideMark/>
          </w:tcPr>
          <w:p w14:paraId="664AEE76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Primljeni krediti i zajmovi od kreditnih i ostalih financijskih institucija u javnom sektoru</w:t>
            </w:r>
          </w:p>
        </w:tc>
        <w:tc>
          <w:tcPr>
            <w:tcW w:w="1560" w:type="dxa"/>
            <w:vAlign w:val="center"/>
            <w:hideMark/>
          </w:tcPr>
          <w:p w14:paraId="63AB0094" w14:textId="6A845C39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32421432" w14:textId="0F37856F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2C0D8141" w14:textId="0657E7CD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0%</w:t>
            </w:r>
          </w:p>
        </w:tc>
        <w:tc>
          <w:tcPr>
            <w:tcW w:w="1564" w:type="dxa"/>
            <w:vAlign w:val="center"/>
            <w:hideMark/>
          </w:tcPr>
          <w:p w14:paraId="1D247235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</w:tr>
      <w:tr w:rsidR="009677CC" w:rsidRPr="009677CC" w14:paraId="233DAD8A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5BB9373B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5</w:t>
            </w:r>
          </w:p>
        </w:tc>
        <w:tc>
          <w:tcPr>
            <w:tcW w:w="3376" w:type="dxa"/>
            <w:vAlign w:val="center"/>
            <w:hideMark/>
          </w:tcPr>
          <w:p w14:paraId="6B88BBC8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Izdaci za financijsku imovinu i otplate zajmova</w:t>
            </w:r>
          </w:p>
        </w:tc>
        <w:tc>
          <w:tcPr>
            <w:tcW w:w="1560" w:type="dxa"/>
            <w:vAlign w:val="center"/>
            <w:hideMark/>
          </w:tcPr>
          <w:p w14:paraId="7798D054" w14:textId="4D2B4C1E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</w:t>
            </w:r>
            <w:r w:rsidR="008B7F55" w:rsidRPr="009677CC">
              <w:rPr>
                <w:bCs/>
                <w:sz w:val="22"/>
                <w:szCs w:val="22"/>
                <w:lang w:val="hr-HR"/>
              </w:rPr>
              <w:t>125</w:t>
            </w:r>
            <w:r w:rsidRPr="009677CC">
              <w:rPr>
                <w:bCs/>
                <w:sz w:val="22"/>
                <w:szCs w:val="22"/>
                <w:lang w:val="hr-HR"/>
              </w:rPr>
              <w:t>.000,00</w:t>
            </w:r>
          </w:p>
        </w:tc>
        <w:tc>
          <w:tcPr>
            <w:tcW w:w="1559" w:type="dxa"/>
            <w:vAlign w:val="center"/>
            <w:hideMark/>
          </w:tcPr>
          <w:p w14:paraId="3C7D1D47" w14:textId="13086B5F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26D902E3" w14:textId="0FA6A014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6E508CFD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3.125.000,00</w:t>
            </w:r>
          </w:p>
        </w:tc>
      </w:tr>
      <w:tr w:rsidR="009677CC" w:rsidRPr="009677CC" w14:paraId="50A39229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103742B4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54</w:t>
            </w:r>
          </w:p>
        </w:tc>
        <w:tc>
          <w:tcPr>
            <w:tcW w:w="3376" w:type="dxa"/>
            <w:vAlign w:val="center"/>
            <w:hideMark/>
          </w:tcPr>
          <w:p w14:paraId="3306B661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Izdaci za otplatu glavnice primljenih kredita i zajmova</w:t>
            </w:r>
          </w:p>
        </w:tc>
        <w:tc>
          <w:tcPr>
            <w:tcW w:w="1560" w:type="dxa"/>
            <w:vAlign w:val="center"/>
            <w:hideMark/>
          </w:tcPr>
          <w:p w14:paraId="238F698D" w14:textId="434F4BAB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</w:t>
            </w:r>
            <w:r w:rsidR="008B7F55" w:rsidRPr="009677CC">
              <w:rPr>
                <w:bCs/>
                <w:sz w:val="22"/>
                <w:szCs w:val="22"/>
                <w:lang w:val="hr-HR"/>
              </w:rPr>
              <w:t>125</w:t>
            </w:r>
            <w:r w:rsidRPr="009677CC">
              <w:rPr>
                <w:bCs/>
                <w:sz w:val="22"/>
                <w:szCs w:val="22"/>
                <w:lang w:val="hr-HR"/>
              </w:rPr>
              <w:t>.000,00</w:t>
            </w:r>
          </w:p>
        </w:tc>
        <w:tc>
          <w:tcPr>
            <w:tcW w:w="1559" w:type="dxa"/>
            <w:vAlign w:val="center"/>
            <w:hideMark/>
          </w:tcPr>
          <w:p w14:paraId="4FD1168C" w14:textId="1BDD8849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14:paraId="235AC7E9" w14:textId="082FCAD0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6CB40152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3.125.000,00</w:t>
            </w:r>
          </w:p>
        </w:tc>
      </w:tr>
      <w:tr w:rsidR="009677CC" w:rsidRPr="009677CC" w14:paraId="1CF439C7" w14:textId="77777777" w:rsidTr="009677CC">
        <w:trPr>
          <w:trHeight w:val="300"/>
          <w:jc w:val="center"/>
        </w:trPr>
        <w:tc>
          <w:tcPr>
            <w:tcW w:w="588" w:type="dxa"/>
            <w:vAlign w:val="center"/>
            <w:hideMark/>
          </w:tcPr>
          <w:p w14:paraId="2E2B13F9" w14:textId="77777777" w:rsidR="00412577" w:rsidRPr="009677CC" w:rsidRDefault="00412577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544</w:t>
            </w:r>
          </w:p>
        </w:tc>
        <w:tc>
          <w:tcPr>
            <w:tcW w:w="3376" w:type="dxa"/>
            <w:vAlign w:val="center"/>
            <w:hideMark/>
          </w:tcPr>
          <w:p w14:paraId="45AA1292" w14:textId="77777777" w:rsidR="00412577" w:rsidRPr="009677CC" w:rsidRDefault="00412577" w:rsidP="009677CC">
            <w:pPr>
              <w:autoSpaceDE w:val="0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Otplata glavnice primljenih kredita i zajmova od kreditnih i ostalih financijskih institucija izvan</w:t>
            </w:r>
          </w:p>
        </w:tc>
        <w:tc>
          <w:tcPr>
            <w:tcW w:w="1560" w:type="dxa"/>
            <w:vAlign w:val="center"/>
            <w:hideMark/>
          </w:tcPr>
          <w:p w14:paraId="28974016" w14:textId="37C16B94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</w:t>
            </w:r>
            <w:r w:rsidR="008B7F55" w:rsidRPr="009677CC">
              <w:rPr>
                <w:bCs/>
                <w:sz w:val="22"/>
                <w:szCs w:val="22"/>
                <w:lang w:val="hr-HR"/>
              </w:rPr>
              <w:t>125</w:t>
            </w:r>
            <w:r w:rsidRPr="009677CC">
              <w:rPr>
                <w:bCs/>
                <w:sz w:val="22"/>
                <w:szCs w:val="22"/>
                <w:lang w:val="hr-HR"/>
              </w:rPr>
              <w:t>.000,00</w:t>
            </w:r>
          </w:p>
        </w:tc>
        <w:tc>
          <w:tcPr>
            <w:tcW w:w="1559" w:type="dxa"/>
            <w:vAlign w:val="center"/>
            <w:hideMark/>
          </w:tcPr>
          <w:p w14:paraId="4D8245B0" w14:textId="646D7F41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14:paraId="19B84589" w14:textId="67156762" w:rsidR="00412577" w:rsidRPr="009677CC" w:rsidRDefault="008B7F55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</w:t>
            </w:r>
            <w:r w:rsidR="00412577" w:rsidRPr="009677CC">
              <w:rPr>
                <w:bCs/>
                <w:sz w:val="22"/>
                <w:szCs w:val="22"/>
                <w:lang w:val="hr-HR"/>
              </w:rPr>
              <w:t>%</w:t>
            </w:r>
          </w:p>
        </w:tc>
        <w:tc>
          <w:tcPr>
            <w:tcW w:w="1564" w:type="dxa"/>
            <w:vAlign w:val="center"/>
            <w:hideMark/>
          </w:tcPr>
          <w:p w14:paraId="4D504F04" w14:textId="77777777" w:rsidR="00412577" w:rsidRPr="009677CC" w:rsidRDefault="00412577" w:rsidP="006B2459">
            <w:pPr>
              <w:autoSpaceDE w:val="0"/>
              <w:jc w:val="right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3.125.000,00</w:t>
            </w:r>
          </w:p>
        </w:tc>
      </w:tr>
    </w:tbl>
    <w:p w14:paraId="04A3F2E4" w14:textId="77777777" w:rsidR="006962AF" w:rsidRPr="009677CC" w:rsidRDefault="006962AF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0E4922F" w14:textId="77777777" w:rsidR="00AA0F8E" w:rsidRPr="009677CC" w:rsidRDefault="00AA0F8E" w:rsidP="006B2459">
      <w:pPr>
        <w:autoSpaceDE w:val="0"/>
        <w:jc w:val="both"/>
        <w:rPr>
          <w:sz w:val="22"/>
          <w:szCs w:val="22"/>
          <w:lang w:val="hr-HR"/>
        </w:rPr>
      </w:pPr>
    </w:p>
    <w:p w14:paraId="5BC8D091" w14:textId="77777777" w:rsidR="00AA0F8E" w:rsidRPr="009677CC" w:rsidRDefault="00AA0F8E" w:rsidP="006B2459">
      <w:pPr>
        <w:autoSpaceDE w:val="0"/>
        <w:ind w:left="284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III.</w:t>
      </w:r>
      <w:r w:rsidRPr="009677CC">
        <w:rPr>
          <w:bCs/>
          <w:sz w:val="22"/>
          <w:szCs w:val="22"/>
          <w:lang w:val="hr-HR"/>
        </w:rPr>
        <w:tab/>
        <w:t>OBRAZLOŽENJE IZMJENA PLANA RASHODA PO RAZDJELIMA I PROGRAMIMA</w:t>
      </w:r>
    </w:p>
    <w:p w14:paraId="41F62D0F" w14:textId="67FFCE02" w:rsidR="00AA0F8E" w:rsidRPr="009677CC" w:rsidRDefault="00AA0F8E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6504950" w14:textId="1F79AA12" w:rsidR="009973A6" w:rsidRPr="009677CC" w:rsidRDefault="009973A6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U nastavku se daje </w:t>
      </w:r>
      <w:r w:rsidR="00FF6492" w:rsidRPr="009677CC">
        <w:rPr>
          <w:bCs/>
          <w:sz w:val="22"/>
          <w:szCs w:val="22"/>
          <w:lang w:val="hr-HR"/>
        </w:rPr>
        <w:t>obrazloženje izmjena plana ra</w:t>
      </w:r>
      <w:r w:rsidR="00365D02" w:rsidRPr="009677CC">
        <w:rPr>
          <w:bCs/>
          <w:sz w:val="22"/>
          <w:szCs w:val="22"/>
          <w:lang w:val="hr-HR"/>
        </w:rPr>
        <w:t xml:space="preserve">shoda i izdataka po razdjelima </w:t>
      </w:r>
      <w:r w:rsidR="00DA7516" w:rsidRPr="009677CC">
        <w:rPr>
          <w:bCs/>
          <w:sz w:val="22"/>
          <w:szCs w:val="22"/>
          <w:lang w:val="hr-HR"/>
        </w:rPr>
        <w:t>-</w:t>
      </w:r>
      <w:r w:rsidR="00365D02" w:rsidRPr="009677CC">
        <w:rPr>
          <w:bCs/>
          <w:sz w:val="22"/>
          <w:szCs w:val="22"/>
          <w:lang w:val="hr-HR"/>
        </w:rPr>
        <w:t xml:space="preserve"> upravnim odjelima, dosadašnjim i novoustrojenim i programima koji se provode kroz te upravne</w:t>
      </w:r>
      <w:r w:rsidR="00FF6492" w:rsidRPr="009677CC">
        <w:rPr>
          <w:bCs/>
          <w:sz w:val="22"/>
          <w:szCs w:val="22"/>
          <w:lang w:val="hr-HR"/>
        </w:rPr>
        <w:t xml:space="preserve"> </w:t>
      </w:r>
      <w:r w:rsidR="00365D02" w:rsidRPr="009677CC">
        <w:rPr>
          <w:bCs/>
          <w:sz w:val="22"/>
          <w:szCs w:val="22"/>
          <w:lang w:val="hr-HR"/>
        </w:rPr>
        <w:t>odjele.</w:t>
      </w:r>
    </w:p>
    <w:p w14:paraId="71193D54" w14:textId="77777777" w:rsidR="009973A6" w:rsidRPr="009677CC" w:rsidRDefault="009973A6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3D9A6ECB" w14:textId="155FF6BA" w:rsidR="00B02936" w:rsidRPr="009677CC" w:rsidRDefault="00765B03" w:rsidP="006B2459">
      <w:pPr>
        <w:autoSpaceDE w:val="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Pregled planiranih rashoda i izdataka po upravnim odjelima</w:t>
      </w:r>
      <w:r w:rsidR="00463756" w:rsidRPr="009677CC">
        <w:rPr>
          <w:bCs/>
          <w:sz w:val="22"/>
          <w:szCs w:val="22"/>
          <w:lang w:val="hr-HR"/>
        </w:rPr>
        <w:t xml:space="preserve"> i proračunskim korisnicima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304"/>
        <w:gridCol w:w="2580"/>
        <w:gridCol w:w="1636"/>
        <w:gridCol w:w="1617"/>
        <w:gridCol w:w="866"/>
        <w:gridCol w:w="1636"/>
      </w:tblGrid>
      <w:tr w:rsidR="009677CC" w:rsidRPr="009677CC" w14:paraId="49360B5E" w14:textId="77777777" w:rsidTr="009677CC">
        <w:trPr>
          <w:trHeight w:val="300"/>
          <w:jc w:val="center"/>
        </w:trPr>
        <w:tc>
          <w:tcPr>
            <w:tcW w:w="1172" w:type="dxa"/>
            <w:vAlign w:val="center"/>
          </w:tcPr>
          <w:p w14:paraId="2F64FB8E" w14:textId="77777777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09" w:type="dxa"/>
          </w:tcPr>
          <w:p w14:paraId="501331A1" w14:textId="77777777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B63CC6D" w14:textId="67189C85" w:rsidR="00A11D7C" w:rsidRPr="009677CC" w:rsidRDefault="00A11D7C" w:rsidP="006B245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PLANIRANO</w:t>
            </w:r>
          </w:p>
        </w:tc>
        <w:tc>
          <w:tcPr>
            <w:tcW w:w="1572" w:type="dxa"/>
          </w:tcPr>
          <w:p w14:paraId="0EA62A66" w14:textId="363993B3" w:rsidR="00A11D7C" w:rsidRPr="009677CC" w:rsidRDefault="00A11D7C" w:rsidP="006B245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PROMJENA IZNOS</w:t>
            </w:r>
          </w:p>
        </w:tc>
        <w:tc>
          <w:tcPr>
            <w:tcW w:w="842" w:type="dxa"/>
          </w:tcPr>
          <w:p w14:paraId="17B53265" w14:textId="427A69B4" w:rsidR="00A11D7C" w:rsidRPr="009677CC" w:rsidRDefault="00A11D7C" w:rsidP="006B245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01" w:type="dxa"/>
          </w:tcPr>
          <w:p w14:paraId="1D5B0E08" w14:textId="1F566C40" w:rsidR="00A11D7C" w:rsidRPr="009677CC" w:rsidRDefault="00A11D7C" w:rsidP="006B245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NOVI IZNOS</w:t>
            </w:r>
          </w:p>
        </w:tc>
      </w:tr>
      <w:tr w:rsidR="009677CC" w:rsidRPr="009677CC" w14:paraId="5292C9D0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3EFC6E7A" w14:textId="1B982904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2509" w:type="dxa"/>
            <w:hideMark/>
          </w:tcPr>
          <w:p w14:paraId="7527227F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SVEUKUPNO RASHODI / IZDACI</w:t>
            </w:r>
          </w:p>
        </w:tc>
        <w:tc>
          <w:tcPr>
            <w:tcW w:w="1466" w:type="dxa"/>
            <w:hideMark/>
          </w:tcPr>
          <w:p w14:paraId="79635CB7" w14:textId="19EBAF22" w:rsidR="00A11D7C" w:rsidRPr="009677CC" w:rsidRDefault="00A11D7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169.</w:t>
            </w:r>
            <w:r w:rsidR="001428FB" w:rsidRPr="009677CC">
              <w:rPr>
                <w:bCs/>
                <w:sz w:val="22"/>
                <w:szCs w:val="22"/>
              </w:rPr>
              <w:t>012.410</w:t>
            </w:r>
            <w:r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73E8DEF9" w14:textId="48D84D43" w:rsidR="00A11D7C" w:rsidRPr="009677CC" w:rsidRDefault="001428FB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-11.826.728,00</w:t>
            </w:r>
          </w:p>
        </w:tc>
        <w:tc>
          <w:tcPr>
            <w:tcW w:w="842" w:type="dxa"/>
            <w:hideMark/>
          </w:tcPr>
          <w:p w14:paraId="47BEF875" w14:textId="5A4E4C64" w:rsidR="00A11D7C" w:rsidRPr="009677CC" w:rsidRDefault="001428FB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-7,00</w:t>
            </w:r>
          </w:p>
        </w:tc>
        <w:tc>
          <w:tcPr>
            <w:tcW w:w="1501" w:type="dxa"/>
            <w:hideMark/>
          </w:tcPr>
          <w:p w14:paraId="044E800B" w14:textId="16A38D09" w:rsidR="00A11D7C" w:rsidRPr="009677CC" w:rsidRDefault="001428FB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157.185.682,00</w:t>
            </w:r>
          </w:p>
        </w:tc>
      </w:tr>
      <w:tr w:rsidR="009677CC" w:rsidRPr="009677CC" w14:paraId="46CF0E46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645503A8" w14:textId="71CBD74B" w:rsidR="00A11D7C" w:rsidRPr="009677CC" w:rsidRDefault="00A11D7C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001</w:t>
            </w:r>
          </w:p>
        </w:tc>
        <w:tc>
          <w:tcPr>
            <w:tcW w:w="2509" w:type="dxa"/>
            <w:hideMark/>
          </w:tcPr>
          <w:p w14:paraId="2C7A2EBB" w14:textId="77777777" w:rsidR="00A11D7C" w:rsidRPr="009677CC" w:rsidRDefault="00A11D7C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FINANCIJE</w:t>
            </w:r>
          </w:p>
        </w:tc>
        <w:tc>
          <w:tcPr>
            <w:tcW w:w="1466" w:type="dxa"/>
            <w:hideMark/>
          </w:tcPr>
          <w:p w14:paraId="665F8895" w14:textId="5D0E7DA4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11.259.665</w:t>
            </w:r>
            <w:r w:rsidR="00A11D7C" w:rsidRPr="009677C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7A07B55C" w14:textId="0714FC3B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-59.700,00</w:t>
            </w:r>
          </w:p>
        </w:tc>
        <w:tc>
          <w:tcPr>
            <w:tcW w:w="842" w:type="dxa"/>
            <w:hideMark/>
          </w:tcPr>
          <w:p w14:paraId="14C58695" w14:textId="782ED7AE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-0,53</w:t>
            </w:r>
          </w:p>
        </w:tc>
        <w:tc>
          <w:tcPr>
            <w:tcW w:w="1501" w:type="dxa"/>
            <w:hideMark/>
          </w:tcPr>
          <w:p w14:paraId="78C8B4DA" w14:textId="5F93B212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11.199.965,00</w:t>
            </w:r>
          </w:p>
        </w:tc>
      </w:tr>
      <w:tr w:rsidR="009677CC" w:rsidRPr="009677CC" w14:paraId="31C1C8ED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10636FAB" w14:textId="340F4EEF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00101</w:t>
            </w:r>
          </w:p>
        </w:tc>
        <w:tc>
          <w:tcPr>
            <w:tcW w:w="2509" w:type="dxa"/>
            <w:hideMark/>
          </w:tcPr>
          <w:p w14:paraId="51BFBD99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FINANCIJE</w:t>
            </w:r>
          </w:p>
        </w:tc>
        <w:tc>
          <w:tcPr>
            <w:tcW w:w="1466" w:type="dxa"/>
            <w:hideMark/>
          </w:tcPr>
          <w:p w14:paraId="43D9858D" w14:textId="5071F0DF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11.259.665</w:t>
            </w:r>
            <w:r w:rsidR="00A11D7C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0AE54C71" w14:textId="47E19F4F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-59.700,00</w:t>
            </w:r>
          </w:p>
        </w:tc>
        <w:tc>
          <w:tcPr>
            <w:tcW w:w="842" w:type="dxa"/>
            <w:hideMark/>
          </w:tcPr>
          <w:p w14:paraId="19B232D7" w14:textId="311E7280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-0,53</w:t>
            </w:r>
          </w:p>
        </w:tc>
        <w:tc>
          <w:tcPr>
            <w:tcW w:w="1501" w:type="dxa"/>
            <w:hideMark/>
          </w:tcPr>
          <w:p w14:paraId="645526E3" w14:textId="5B30DA80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11.199.965,00</w:t>
            </w:r>
          </w:p>
        </w:tc>
      </w:tr>
      <w:tr w:rsidR="009677CC" w:rsidRPr="009677CC" w14:paraId="600441CC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72460C9A" w14:textId="77777777" w:rsidR="00A11D7C" w:rsidRPr="009677CC" w:rsidRDefault="00A11D7C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 002</w:t>
            </w:r>
          </w:p>
        </w:tc>
        <w:tc>
          <w:tcPr>
            <w:tcW w:w="2509" w:type="dxa"/>
            <w:hideMark/>
          </w:tcPr>
          <w:p w14:paraId="045E6E5A" w14:textId="77777777" w:rsidR="00A11D7C" w:rsidRPr="009677CC" w:rsidRDefault="00A11D7C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SAMOUPRAVU</w:t>
            </w:r>
          </w:p>
        </w:tc>
        <w:tc>
          <w:tcPr>
            <w:tcW w:w="1466" w:type="dxa"/>
            <w:hideMark/>
          </w:tcPr>
          <w:p w14:paraId="35BC36A8" w14:textId="7095A3D7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45.003.966,00</w:t>
            </w:r>
          </w:p>
        </w:tc>
        <w:tc>
          <w:tcPr>
            <w:tcW w:w="1572" w:type="dxa"/>
            <w:hideMark/>
          </w:tcPr>
          <w:p w14:paraId="10899B35" w14:textId="243FDDCD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2.116.589,00</w:t>
            </w:r>
          </w:p>
        </w:tc>
        <w:tc>
          <w:tcPr>
            <w:tcW w:w="842" w:type="dxa"/>
            <w:hideMark/>
          </w:tcPr>
          <w:p w14:paraId="0A14015F" w14:textId="4A3A65A8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4,70</w:t>
            </w:r>
          </w:p>
        </w:tc>
        <w:tc>
          <w:tcPr>
            <w:tcW w:w="1501" w:type="dxa"/>
            <w:hideMark/>
          </w:tcPr>
          <w:p w14:paraId="3C854712" w14:textId="5E0A9DA6" w:rsidR="00A11D7C" w:rsidRPr="009677CC" w:rsidRDefault="00945386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47.120.555,00</w:t>
            </w:r>
          </w:p>
        </w:tc>
      </w:tr>
      <w:tr w:rsidR="009677CC" w:rsidRPr="009677CC" w14:paraId="47663E65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1E5D1B29" w14:textId="4A53F5E0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00201</w:t>
            </w:r>
          </w:p>
        </w:tc>
        <w:tc>
          <w:tcPr>
            <w:tcW w:w="2509" w:type="dxa"/>
            <w:hideMark/>
          </w:tcPr>
          <w:p w14:paraId="74E7A485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SAMOUPRAVU</w:t>
            </w:r>
          </w:p>
        </w:tc>
        <w:tc>
          <w:tcPr>
            <w:tcW w:w="1466" w:type="dxa"/>
            <w:hideMark/>
          </w:tcPr>
          <w:p w14:paraId="759F7E18" w14:textId="5B843BEA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10.403.125</w:t>
            </w:r>
            <w:r w:rsidR="00A11D7C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1572" w:type="dxa"/>
            <w:hideMark/>
          </w:tcPr>
          <w:p w14:paraId="02B5619F" w14:textId="1B0E24D7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</w:t>
            </w:r>
            <w:r w:rsidR="00A11D7C" w:rsidRPr="009677CC">
              <w:rPr>
                <w:bCs/>
                <w:sz w:val="22"/>
                <w:szCs w:val="22"/>
                <w:lang w:val="hr-HR"/>
              </w:rPr>
              <w:t>,00</w:t>
            </w:r>
          </w:p>
        </w:tc>
        <w:tc>
          <w:tcPr>
            <w:tcW w:w="842" w:type="dxa"/>
            <w:hideMark/>
          </w:tcPr>
          <w:p w14:paraId="036ED0D4" w14:textId="48F963FD" w:rsidR="00A11D7C" w:rsidRPr="009677CC" w:rsidRDefault="00945386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01" w:type="dxa"/>
            <w:hideMark/>
          </w:tcPr>
          <w:p w14:paraId="4D4E141B" w14:textId="41B8B007" w:rsidR="00A11D7C" w:rsidRPr="009677CC" w:rsidRDefault="00A11D7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10.403.125,00</w:t>
            </w:r>
          </w:p>
        </w:tc>
      </w:tr>
      <w:tr w:rsidR="009677CC" w:rsidRPr="009677CC" w14:paraId="759B0FFE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38747724" w14:textId="120C5E0E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00202</w:t>
            </w:r>
          </w:p>
        </w:tc>
        <w:tc>
          <w:tcPr>
            <w:tcW w:w="2509" w:type="dxa"/>
            <w:hideMark/>
          </w:tcPr>
          <w:p w14:paraId="670B80BC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U KULTURI</w:t>
            </w:r>
          </w:p>
        </w:tc>
        <w:tc>
          <w:tcPr>
            <w:tcW w:w="1466" w:type="dxa"/>
            <w:hideMark/>
          </w:tcPr>
          <w:p w14:paraId="3F569246" w14:textId="3E7F0B64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5.461.689</w:t>
            </w:r>
            <w:r w:rsidR="00A11D7C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7736696F" w14:textId="694686EC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-15.581</w:t>
            </w:r>
            <w:r w:rsidR="00A11D7C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42" w:type="dxa"/>
            <w:hideMark/>
          </w:tcPr>
          <w:p w14:paraId="7D77B7A3" w14:textId="0B32450B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-0,29</w:t>
            </w:r>
          </w:p>
        </w:tc>
        <w:tc>
          <w:tcPr>
            <w:tcW w:w="1501" w:type="dxa"/>
            <w:hideMark/>
          </w:tcPr>
          <w:p w14:paraId="74CCF334" w14:textId="310D1D07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5.446.108</w:t>
            </w:r>
            <w:r w:rsidR="00A11D7C"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4C022A97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58C17816" w14:textId="7F810417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32699</w:t>
            </w:r>
          </w:p>
        </w:tc>
        <w:tc>
          <w:tcPr>
            <w:tcW w:w="2509" w:type="dxa"/>
            <w:hideMark/>
          </w:tcPr>
          <w:p w14:paraId="1128C4BA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GRADSKI MUZEJ POŽEGA</w:t>
            </w:r>
          </w:p>
        </w:tc>
        <w:tc>
          <w:tcPr>
            <w:tcW w:w="1466" w:type="dxa"/>
            <w:hideMark/>
          </w:tcPr>
          <w:p w14:paraId="640FDA27" w14:textId="03B10A59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1.312.315</w:t>
            </w:r>
            <w:r w:rsidR="00A11D7C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4F30E80D" w14:textId="0ECDB15D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-17.579,00</w:t>
            </w:r>
          </w:p>
        </w:tc>
        <w:tc>
          <w:tcPr>
            <w:tcW w:w="842" w:type="dxa"/>
            <w:hideMark/>
          </w:tcPr>
          <w:p w14:paraId="22432B6B" w14:textId="3ADB4BB7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-1,34</w:t>
            </w:r>
          </w:p>
        </w:tc>
        <w:tc>
          <w:tcPr>
            <w:tcW w:w="1501" w:type="dxa"/>
            <w:hideMark/>
          </w:tcPr>
          <w:p w14:paraId="05E5628B" w14:textId="5CC9237B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1.294.736,00</w:t>
            </w:r>
          </w:p>
        </w:tc>
      </w:tr>
      <w:tr w:rsidR="009677CC" w:rsidRPr="009677CC" w14:paraId="54237BFD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0A28B043" w14:textId="1386F1BA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lastRenderedPageBreak/>
              <w:t>Proračunski korisnik 32703</w:t>
            </w:r>
          </w:p>
        </w:tc>
        <w:tc>
          <w:tcPr>
            <w:tcW w:w="2509" w:type="dxa"/>
            <w:hideMark/>
          </w:tcPr>
          <w:p w14:paraId="55FE9FCE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GRADSKA KNJIŽNICA I ČITAONICA POŽEGA</w:t>
            </w:r>
          </w:p>
        </w:tc>
        <w:tc>
          <w:tcPr>
            <w:tcW w:w="1466" w:type="dxa"/>
            <w:hideMark/>
          </w:tcPr>
          <w:p w14:paraId="244574C9" w14:textId="3386CF8F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2.759.349,00</w:t>
            </w:r>
          </w:p>
        </w:tc>
        <w:tc>
          <w:tcPr>
            <w:tcW w:w="1572" w:type="dxa"/>
            <w:hideMark/>
          </w:tcPr>
          <w:p w14:paraId="179DF96C" w14:textId="0DF4CED4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-2,00</w:t>
            </w:r>
          </w:p>
        </w:tc>
        <w:tc>
          <w:tcPr>
            <w:tcW w:w="842" w:type="dxa"/>
            <w:hideMark/>
          </w:tcPr>
          <w:p w14:paraId="227652C4" w14:textId="21D06365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3051FB53" w14:textId="1BCE8944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2.759.347,00</w:t>
            </w:r>
          </w:p>
        </w:tc>
      </w:tr>
      <w:tr w:rsidR="009677CC" w:rsidRPr="009677CC" w14:paraId="21435889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705874C5" w14:textId="3AF41A5A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32711</w:t>
            </w:r>
          </w:p>
        </w:tc>
        <w:tc>
          <w:tcPr>
            <w:tcW w:w="2509" w:type="dxa"/>
            <w:hideMark/>
          </w:tcPr>
          <w:p w14:paraId="0C849DEF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GRADSKO KAZALIŠTE POŽEGA</w:t>
            </w:r>
          </w:p>
        </w:tc>
        <w:tc>
          <w:tcPr>
            <w:tcW w:w="1466" w:type="dxa"/>
            <w:hideMark/>
          </w:tcPr>
          <w:p w14:paraId="56AB90BF" w14:textId="37D654CD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1.390.025,00</w:t>
            </w:r>
          </w:p>
        </w:tc>
        <w:tc>
          <w:tcPr>
            <w:tcW w:w="1572" w:type="dxa"/>
            <w:hideMark/>
          </w:tcPr>
          <w:p w14:paraId="0EDCCEB3" w14:textId="1A999EBC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2.000,00</w:t>
            </w:r>
          </w:p>
        </w:tc>
        <w:tc>
          <w:tcPr>
            <w:tcW w:w="842" w:type="dxa"/>
            <w:hideMark/>
          </w:tcPr>
          <w:p w14:paraId="47F25E4D" w14:textId="034BC2BB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0,14</w:t>
            </w:r>
          </w:p>
        </w:tc>
        <w:tc>
          <w:tcPr>
            <w:tcW w:w="1501" w:type="dxa"/>
            <w:hideMark/>
          </w:tcPr>
          <w:p w14:paraId="38188F6F" w14:textId="1122E18F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1.392.025,00</w:t>
            </w:r>
          </w:p>
        </w:tc>
      </w:tr>
      <w:tr w:rsidR="009677CC" w:rsidRPr="009677CC" w14:paraId="26485A14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2FA856FD" w14:textId="77777777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 00203</w:t>
            </w:r>
          </w:p>
        </w:tc>
        <w:tc>
          <w:tcPr>
            <w:tcW w:w="2509" w:type="dxa"/>
            <w:hideMark/>
          </w:tcPr>
          <w:p w14:paraId="681DEBDE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PREDŠKOLSKOG ODGOJA</w:t>
            </w:r>
          </w:p>
        </w:tc>
        <w:tc>
          <w:tcPr>
            <w:tcW w:w="1466" w:type="dxa"/>
            <w:hideMark/>
          </w:tcPr>
          <w:p w14:paraId="5EEE9A2F" w14:textId="0260FA6D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5.807.950,00</w:t>
            </w:r>
          </w:p>
        </w:tc>
        <w:tc>
          <w:tcPr>
            <w:tcW w:w="1572" w:type="dxa"/>
            <w:hideMark/>
          </w:tcPr>
          <w:p w14:paraId="029DE48E" w14:textId="42AE5EE4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599.660,00</w:t>
            </w:r>
          </w:p>
        </w:tc>
        <w:tc>
          <w:tcPr>
            <w:tcW w:w="842" w:type="dxa"/>
            <w:hideMark/>
          </w:tcPr>
          <w:p w14:paraId="7E55C924" w14:textId="2D220C2A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10,32</w:t>
            </w:r>
          </w:p>
        </w:tc>
        <w:tc>
          <w:tcPr>
            <w:tcW w:w="1501" w:type="dxa"/>
            <w:hideMark/>
          </w:tcPr>
          <w:p w14:paraId="3C1254B4" w14:textId="6386D6DE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6.407.610,00</w:t>
            </w:r>
          </w:p>
        </w:tc>
      </w:tr>
      <w:tr w:rsidR="009677CC" w:rsidRPr="009677CC" w14:paraId="059E3567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40B47F31" w14:textId="41A3C7DC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32738</w:t>
            </w:r>
          </w:p>
        </w:tc>
        <w:tc>
          <w:tcPr>
            <w:tcW w:w="2509" w:type="dxa"/>
            <w:hideMark/>
          </w:tcPr>
          <w:p w14:paraId="6780510B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DJEČJI VRTIĆI POŽEGA</w:t>
            </w:r>
          </w:p>
        </w:tc>
        <w:tc>
          <w:tcPr>
            <w:tcW w:w="1466" w:type="dxa"/>
            <w:hideMark/>
          </w:tcPr>
          <w:p w14:paraId="40B1EF75" w14:textId="494726BA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5.807.950,00</w:t>
            </w:r>
          </w:p>
        </w:tc>
        <w:tc>
          <w:tcPr>
            <w:tcW w:w="1572" w:type="dxa"/>
            <w:hideMark/>
          </w:tcPr>
          <w:p w14:paraId="053C3AE4" w14:textId="4E690253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599.660,00</w:t>
            </w:r>
          </w:p>
        </w:tc>
        <w:tc>
          <w:tcPr>
            <w:tcW w:w="842" w:type="dxa"/>
            <w:hideMark/>
          </w:tcPr>
          <w:p w14:paraId="72ABF911" w14:textId="769A4079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10,32</w:t>
            </w:r>
          </w:p>
        </w:tc>
        <w:tc>
          <w:tcPr>
            <w:tcW w:w="1501" w:type="dxa"/>
            <w:hideMark/>
          </w:tcPr>
          <w:p w14:paraId="4A7F02E0" w14:textId="69FE6A22" w:rsidR="00A11D7C" w:rsidRPr="009677CC" w:rsidRDefault="00F8500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6.407.610,00</w:t>
            </w:r>
          </w:p>
        </w:tc>
      </w:tr>
      <w:tr w:rsidR="009677CC" w:rsidRPr="009677CC" w14:paraId="5D1F1B4E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217364B8" w14:textId="4337229B" w:rsidR="00A11D7C" w:rsidRPr="009677CC" w:rsidRDefault="00A11D7C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00204</w:t>
            </w:r>
          </w:p>
        </w:tc>
        <w:tc>
          <w:tcPr>
            <w:tcW w:w="2509" w:type="dxa"/>
            <w:hideMark/>
          </w:tcPr>
          <w:p w14:paraId="62EBB870" w14:textId="77777777" w:rsidR="00A11D7C" w:rsidRPr="009677CC" w:rsidRDefault="00A11D7C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ODGOJA I OBRAZOVANJA - OSNOVNE ŠKOLE</w:t>
            </w:r>
          </w:p>
        </w:tc>
        <w:tc>
          <w:tcPr>
            <w:tcW w:w="1466" w:type="dxa"/>
            <w:hideMark/>
          </w:tcPr>
          <w:p w14:paraId="080F997A" w14:textId="59DD67F2" w:rsidR="00A11D7C" w:rsidRPr="009677CC" w:rsidRDefault="0020222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20.844.132,00</w:t>
            </w:r>
          </w:p>
        </w:tc>
        <w:tc>
          <w:tcPr>
            <w:tcW w:w="1572" w:type="dxa"/>
            <w:hideMark/>
          </w:tcPr>
          <w:p w14:paraId="597F894D" w14:textId="5E7AD3F3" w:rsidR="00A11D7C" w:rsidRPr="009677CC" w:rsidRDefault="0020222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1.532.510,00</w:t>
            </w:r>
          </w:p>
        </w:tc>
        <w:tc>
          <w:tcPr>
            <w:tcW w:w="842" w:type="dxa"/>
            <w:hideMark/>
          </w:tcPr>
          <w:p w14:paraId="0CC340B8" w14:textId="515E76E7" w:rsidR="00A11D7C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7,35</w:t>
            </w:r>
          </w:p>
        </w:tc>
        <w:tc>
          <w:tcPr>
            <w:tcW w:w="1501" w:type="dxa"/>
            <w:hideMark/>
          </w:tcPr>
          <w:p w14:paraId="39967BFB" w14:textId="1AD07214" w:rsidR="00A11D7C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22.376.642,00</w:t>
            </w:r>
          </w:p>
        </w:tc>
      </w:tr>
      <w:tr w:rsidR="009677CC" w:rsidRPr="009677CC" w14:paraId="56F6A868" w14:textId="77777777" w:rsidTr="009677CC">
        <w:trPr>
          <w:trHeight w:val="450"/>
          <w:jc w:val="center"/>
        </w:trPr>
        <w:tc>
          <w:tcPr>
            <w:tcW w:w="1172" w:type="dxa"/>
          </w:tcPr>
          <w:p w14:paraId="055D389B" w14:textId="35376C6D" w:rsidR="00287CD8" w:rsidRPr="009677CC" w:rsidRDefault="00287CD8" w:rsidP="009677CC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00204</w:t>
            </w:r>
          </w:p>
        </w:tc>
        <w:tc>
          <w:tcPr>
            <w:tcW w:w="2509" w:type="dxa"/>
          </w:tcPr>
          <w:p w14:paraId="645153F2" w14:textId="13A39F5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JU ODGOJA I OBRAZOVANJA - OSNOVNE ŠKOLE (KATOLIČKA OŠ, PRIJEVOZ UČENIKA, ULAGANJE U GRAĐEVINSKE OBJEKTE)</w:t>
            </w:r>
          </w:p>
        </w:tc>
        <w:tc>
          <w:tcPr>
            <w:tcW w:w="1466" w:type="dxa"/>
          </w:tcPr>
          <w:p w14:paraId="1F0E4940" w14:textId="51159FB4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853.614,00</w:t>
            </w:r>
          </w:p>
        </w:tc>
        <w:tc>
          <w:tcPr>
            <w:tcW w:w="1572" w:type="dxa"/>
          </w:tcPr>
          <w:p w14:paraId="021CEA08" w14:textId="4C5BE4ED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35.901,00</w:t>
            </w:r>
          </w:p>
        </w:tc>
        <w:tc>
          <w:tcPr>
            <w:tcW w:w="842" w:type="dxa"/>
          </w:tcPr>
          <w:p w14:paraId="2A4AD6DA" w14:textId="055CD523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4,21</w:t>
            </w:r>
          </w:p>
        </w:tc>
        <w:tc>
          <w:tcPr>
            <w:tcW w:w="1501" w:type="dxa"/>
          </w:tcPr>
          <w:p w14:paraId="1421278A" w14:textId="70A0754D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889.515,00</w:t>
            </w:r>
          </w:p>
        </w:tc>
      </w:tr>
      <w:tr w:rsidR="009677CC" w:rsidRPr="009677CC" w14:paraId="25788DE5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0D677859" w14:textId="2A475C74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9755</w:t>
            </w:r>
          </w:p>
        </w:tc>
        <w:tc>
          <w:tcPr>
            <w:tcW w:w="2509" w:type="dxa"/>
            <w:hideMark/>
          </w:tcPr>
          <w:p w14:paraId="5580AF38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"DOBRIŠE CESARIĆA"</w:t>
            </w:r>
          </w:p>
        </w:tc>
        <w:tc>
          <w:tcPr>
            <w:tcW w:w="1466" w:type="dxa"/>
            <w:hideMark/>
          </w:tcPr>
          <w:p w14:paraId="44CEDCB9" w14:textId="631A29B3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7.621.520,00</w:t>
            </w:r>
          </w:p>
        </w:tc>
        <w:tc>
          <w:tcPr>
            <w:tcW w:w="1572" w:type="dxa"/>
            <w:hideMark/>
          </w:tcPr>
          <w:p w14:paraId="4EF675D4" w14:textId="27FA2D4B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601330F0" w14:textId="491F27E0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5B4948BE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7.621.520,00</w:t>
            </w:r>
          </w:p>
        </w:tc>
      </w:tr>
      <w:tr w:rsidR="009677CC" w:rsidRPr="009677CC" w14:paraId="67CA0713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1CE8611C" w14:textId="0EB2933A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9763</w:t>
            </w:r>
          </w:p>
        </w:tc>
        <w:tc>
          <w:tcPr>
            <w:tcW w:w="2509" w:type="dxa"/>
            <w:hideMark/>
          </w:tcPr>
          <w:p w14:paraId="19E23DA0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"JULIJA KEMPFA"</w:t>
            </w:r>
          </w:p>
        </w:tc>
        <w:tc>
          <w:tcPr>
            <w:tcW w:w="1466" w:type="dxa"/>
            <w:hideMark/>
          </w:tcPr>
          <w:p w14:paraId="1762DD6C" w14:textId="57BA069E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7.064.041,00</w:t>
            </w:r>
          </w:p>
        </w:tc>
        <w:tc>
          <w:tcPr>
            <w:tcW w:w="1572" w:type="dxa"/>
            <w:hideMark/>
          </w:tcPr>
          <w:p w14:paraId="46D537D9" w14:textId="4C2FACED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45.685,00</w:t>
            </w:r>
          </w:p>
        </w:tc>
        <w:tc>
          <w:tcPr>
            <w:tcW w:w="842" w:type="dxa"/>
            <w:hideMark/>
          </w:tcPr>
          <w:p w14:paraId="7CCC61D6" w14:textId="04AB48AC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0,65</w:t>
            </w:r>
          </w:p>
        </w:tc>
        <w:tc>
          <w:tcPr>
            <w:tcW w:w="1501" w:type="dxa"/>
            <w:hideMark/>
          </w:tcPr>
          <w:p w14:paraId="47D23F0F" w14:textId="6313C946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7.109.726,00</w:t>
            </w:r>
          </w:p>
        </w:tc>
      </w:tr>
      <w:tr w:rsidR="009677CC" w:rsidRPr="009677CC" w14:paraId="5877442A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4C7E61EE" w14:textId="73C6DDAD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9771</w:t>
            </w:r>
          </w:p>
        </w:tc>
        <w:tc>
          <w:tcPr>
            <w:tcW w:w="2509" w:type="dxa"/>
            <w:hideMark/>
          </w:tcPr>
          <w:p w14:paraId="277FD53C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"ANTUNA KANIŽLIĆA"</w:t>
            </w:r>
          </w:p>
        </w:tc>
        <w:tc>
          <w:tcPr>
            <w:tcW w:w="1466" w:type="dxa"/>
            <w:hideMark/>
          </w:tcPr>
          <w:p w14:paraId="6E24163E" w14:textId="6149ED0B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5.304.957,00</w:t>
            </w:r>
          </w:p>
        </w:tc>
        <w:tc>
          <w:tcPr>
            <w:tcW w:w="1572" w:type="dxa"/>
            <w:hideMark/>
          </w:tcPr>
          <w:p w14:paraId="7976323E" w14:textId="783C67EF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1.450.924,00</w:t>
            </w:r>
          </w:p>
        </w:tc>
        <w:tc>
          <w:tcPr>
            <w:tcW w:w="842" w:type="dxa"/>
            <w:hideMark/>
          </w:tcPr>
          <w:p w14:paraId="4672801D" w14:textId="37FC6B5F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27,35</w:t>
            </w:r>
          </w:p>
        </w:tc>
        <w:tc>
          <w:tcPr>
            <w:tcW w:w="1501" w:type="dxa"/>
            <w:hideMark/>
          </w:tcPr>
          <w:p w14:paraId="31A9C1A9" w14:textId="4BC03125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6.755.881,00</w:t>
            </w:r>
          </w:p>
        </w:tc>
      </w:tr>
      <w:tr w:rsidR="009677CC" w:rsidRPr="009677CC" w14:paraId="65AC118E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727EDBF1" w14:textId="2F332C3C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00205</w:t>
            </w:r>
          </w:p>
        </w:tc>
        <w:tc>
          <w:tcPr>
            <w:tcW w:w="2509" w:type="dxa"/>
            <w:hideMark/>
          </w:tcPr>
          <w:p w14:paraId="07C8A0D8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VIJEĆA MANJINA</w:t>
            </w:r>
          </w:p>
        </w:tc>
        <w:tc>
          <w:tcPr>
            <w:tcW w:w="1466" w:type="dxa"/>
            <w:hideMark/>
          </w:tcPr>
          <w:p w14:paraId="36CF2E59" w14:textId="51E71118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40.930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4531E8CB" w14:textId="0785DF1E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26BC9322" w14:textId="21FD2518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2B653B98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40.930,00</w:t>
            </w:r>
          </w:p>
        </w:tc>
      </w:tr>
      <w:tr w:rsidR="009677CC" w:rsidRPr="009677CC" w14:paraId="04020BFE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152A5E8A" w14:textId="5934D356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46786</w:t>
            </w:r>
          </w:p>
        </w:tc>
        <w:tc>
          <w:tcPr>
            <w:tcW w:w="2509" w:type="dxa"/>
            <w:hideMark/>
          </w:tcPr>
          <w:p w14:paraId="15798178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GRADSKO VIJEĆE SRPSKE NACIONALNE MANJINE POŽEGA</w:t>
            </w:r>
          </w:p>
        </w:tc>
        <w:tc>
          <w:tcPr>
            <w:tcW w:w="1466" w:type="dxa"/>
            <w:hideMark/>
          </w:tcPr>
          <w:p w14:paraId="716887F2" w14:textId="3A6154D3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40.930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52344753" w14:textId="6FD9F2B6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42" w:type="dxa"/>
            <w:hideMark/>
          </w:tcPr>
          <w:p w14:paraId="3AA11119" w14:textId="265B398A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5019ACAB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40.930,00</w:t>
            </w:r>
          </w:p>
        </w:tc>
      </w:tr>
      <w:tr w:rsidR="009677CC" w:rsidRPr="009677CC" w14:paraId="4C4745DE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5D92CA04" w14:textId="5A9C6667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00206</w:t>
            </w:r>
          </w:p>
        </w:tc>
        <w:tc>
          <w:tcPr>
            <w:tcW w:w="2509" w:type="dxa"/>
            <w:hideMark/>
          </w:tcPr>
          <w:p w14:paraId="635CE4E0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JAVNA USTANOVA U ŠPORTU</w:t>
            </w:r>
          </w:p>
        </w:tc>
        <w:tc>
          <w:tcPr>
            <w:tcW w:w="1466" w:type="dxa"/>
            <w:hideMark/>
          </w:tcPr>
          <w:p w14:paraId="7DC55504" w14:textId="41CBCC07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2.446.140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165B6D05" w14:textId="2FBC358E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4C722851" w14:textId="1A7C09CF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52817A8D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2.446.140,00</w:t>
            </w:r>
          </w:p>
        </w:tc>
      </w:tr>
      <w:tr w:rsidR="009677CC" w:rsidRPr="009677CC" w14:paraId="0EB0971B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65503CE6" w14:textId="3D11674B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48347</w:t>
            </w:r>
          </w:p>
        </w:tc>
        <w:tc>
          <w:tcPr>
            <w:tcW w:w="2509" w:type="dxa"/>
            <w:hideMark/>
          </w:tcPr>
          <w:p w14:paraId="523D28EF" w14:textId="1A546624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JU ZA UPRAVLJANJE SPORTSKIM OBJEKTIMA U VLASNIŠTVU GRADA POŽEGE-SPORTSKI OBJEKTI POŽEGA</w:t>
            </w:r>
          </w:p>
        </w:tc>
        <w:tc>
          <w:tcPr>
            <w:tcW w:w="1466" w:type="dxa"/>
            <w:hideMark/>
          </w:tcPr>
          <w:p w14:paraId="0F582973" w14:textId="409E8950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2.446.140,00</w:t>
            </w:r>
          </w:p>
        </w:tc>
        <w:tc>
          <w:tcPr>
            <w:tcW w:w="1572" w:type="dxa"/>
            <w:hideMark/>
          </w:tcPr>
          <w:p w14:paraId="443AE556" w14:textId="547F67C5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227CF5CD" w14:textId="05B6F86C" w:rsidR="00287CD8" w:rsidRPr="009677CC" w:rsidRDefault="00FC3ED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2EEE7FFB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2.446.140,00</w:t>
            </w:r>
          </w:p>
        </w:tc>
      </w:tr>
      <w:tr w:rsidR="009677CC" w:rsidRPr="009677CC" w14:paraId="1ADDA21A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27A18EE6" w14:textId="5FB474F9" w:rsidR="00287CD8" w:rsidRPr="009677CC" w:rsidRDefault="00287CD8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003</w:t>
            </w:r>
          </w:p>
        </w:tc>
        <w:tc>
          <w:tcPr>
            <w:tcW w:w="2509" w:type="dxa"/>
            <w:hideMark/>
          </w:tcPr>
          <w:p w14:paraId="7BF3C7D8" w14:textId="77777777" w:rsidR="00287CD8" w:rsidRPr="009677CC" w:rsidRDefault="00287CD8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KOMUNALNE DJELATNOSTI I GOSPODARENJE</w:t>
            </w:r>
          </w:p>
        </w:tc>
        <w:tc>
          <w:tcPr>
            <w:tcW w:w="1466" w:type="dxa"/>
            <w:hideMark/>
          </w:tcPr>
          <w:p w14:paraId="5246B5CF" w14:textId="544A197E" w:rsidR="00287CD8" w:rsidRPr="009677CC" w:rsidRDefault="00EA2C0E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78.369.139</w:t>
            </w:r>
            <w:r w:rsidR="00287CD8" w:rsidRPr="009677C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7DB9A847" w14:textId="48316619" w:rsidR="00287CD8" w:rsidRPr="009677CC" w:rsidRDefault="00EA2C0E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-11.503.943,00</w:t>
            </w:r>
          </w:p>
        </w:tc>
        <w:tc>
          <w:tcPr>
            <w:tcW w:w="842" w:type="dxa"/>
            <w:hideMark/>
          </w:tcPr>
          <w:p w14:paraId="5679A314" w14:textId="57350E15" w:rsidR="00287CD8" w:rsidRPr="009677CC" w:rsidRDefault="00EA2C0E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-14,68</w:t>
            </w:r>
          </w:p>
        </w:tc>
        <w:tc>
          <w:tcPr>
            <w:tcW w:w="1501" w:type="dxa"/>
            <w:hideMark/>
          </w:tcPr>
          <w:p w14:paraId="137216B4" w14:textId="3962EBC7" w:rsidR="00287CD8" w:rsidRPr="009677CC" w:rsidRDefault="00EA2C0E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66.865.196,00</w:t>
            </w:r>
          </w:p>
        </w:tc>
      </w:tr>
      <w:tr w:rsidR="009677CC" w:rsidRPr="009677CC" w14:paraId="0CC4F4F7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43A08774" w14:textId="28F84E4C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00301</w:t>
            </w:r>
          </w:p>
        </w:tc>
        <w:tc>
          <w:tcPr>
            <w:tcW w:w="2509" w:type="dxa"/>
            <w:hideMark/>
          </w:tcPr>
          <w:p w14:paraId="007935FA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KOMUNALNE DJELATNOSTI I GOSPODARENJE</w:t>
            </w:r>
          </w:p>
        </w:tc>
        <w:tc>
          <w:tcPr>
            <w:tcW w:w="1466" w:type="dxa"/>
            <w:hideMark/>
          </w:tcPr>
          <w:p w14:paraId="45185A36" w14:textId="10552680" w:rsidR="00287CD8" w:rsidRPr="009677CC" w:rsidRDefault="00EA2C0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72.044.507,00</w:t>
            </w:r>
          </w:p>
        </w:tc>
        <w:tc>
          <w:tcPr>
            <w:tcW w:w="1572" w:type="dxa"/>
            <w:hideMark/>
          </w:tcPr>
          <w:p w14:paraId="5249B1C5" w14:textId="04A1CB02" w:rsidR="00287CD8" w:rsidRPr="009677CC" w:rsidRDefault="00EA2C0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-11.259.268,00</w:t>
            </w:r>
          </w:p>
        </w:tc>
        <w:tc>
          <w:tcPr>
            <w:tcW w:w="842" w:type="dxa"/>
            <w:hideMark/>
          </w:tcPr>
          <w:p w14:paraId="7035A3F0" w14:textId="4D203777" w:rsidR="00287CD8" w:rsidRPr="009677CC" w:rsidRDefault="00EA2C0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-15,63</w:t>
            </w:r>
          </w:p>
        </w:tc>
        <w:tc>
          <w:tcPr>
            <w:tcW w:w="1501" w:type="dxa"/>
            <w:hideMark/>
          </w:tcPr>
          <w:p w14:paraId="54DF1211" w14:textId="0D5F340A" w:rsidR="00287CD8" w:rsidRPr="009677CC" w:rsidRDefault="00EA2C0E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60.785.239,00</w:t>
            </w:r>
          </w:p>
        </w:tc>
      </w:tr>
      <w:tr w:rsidR="009677CC" w:rsidRPr="009677CC" w14:paraId="32D48607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7AF65296" w14:textId="58E08B48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lastRenderedPageBreak/>
              <w:t>Glava 00302</w:t>
            </w:r>
          </w:p>
        </w:tc>
        <w:tc>
          <w:tcPr>
            <w:tcW w:w="2509" w:type="dxa"/>
            <w:hideMark/>
          </w:tcPr>
          <w:p w14:paraId="56CB40CC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VATROGASTVO</w:t>
            </w:r>
          </w:p>
        </w:tc>
        <w:tc>
          <w:tcPr>
            <w:tcW w:w="1466" w:type="dxa"/>
            <w:hideMark/>
          </w:tcPr>
          <w:p w14:paraId="4E81B923" w14:textId="2649358F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4.742.382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61A84430" w14:textId="21A5783C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20.930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42" w:type="dxa"/>
            <w:hideMark/>
          </w:tcPr>
          <w:p w14:paraId="0F4CC26D" w14:textId="5C331E81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0,44</w:t>
            </w:r>
          </w:p>
        </w:tc>
        <w:tc>
          <w:tcPr>
            <w:tcW w:w="1501" w:type="dxa"/>
            <w:hideMark/>
          </w:tcPr>
          <w:p w14:paraId="0ECB9309" w14:textId="7F472618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4.763.312,00</w:t>
            </w:r>
          </w:p>
        </w:tc>
      </w:tr>
      <w:tr w:rsidR="009677CC" w:rsidRPr="009677CC" w14:paraId="16866E50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1E269881" w14:textId="394C228C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32720</w:t>
            </w:r>
          </w:p>
        </w:tc>
        <w:tc>
          <w:tcPr>
            <w:tcW w:w="2509" w:type="dxa"/>
            <w:hideMark/>
          </w:tcPr>
          <w:p w14:paraId="49B55E29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JAVNA VATROGASNA POSTROJBA POŽEGA</w:t>
            </w:r>
          </w:p>
        </w:tc>
        <w:tc>
          <w:tcPr>
            <w:tcW w:w="1466" w:type="dxa"/>
            <w:hideMark/>
          </w:tcPr>
          <w:p w14:paraId="4DEA27CE" w14:textId="4ED41454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4.742.382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2B05ECAB" w14:textId="0554B369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20.930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42" w:type="dxa"/>
            <w:hideMark/>
          </w:tcPr>
          <w:p w14:paraId="1D552601" w14:textId="604AEEED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0,44</w:t>
            </w:r>
          </w:p>
        </w:tc>
        <w:tc>
          <w:tcPr>
            <w:tcW w:w="1501" w:type="dxa"/>
            <w:hideMark/>
          </w:tcPr>
          <w:p w14:paraId="669FAB95" w14:textId="38C613C0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4.763.312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52F77C7A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3E42BE37" w14:textId="38D62316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00303</w:t>
            </w:r>
          </w:p>
        </w:tc>
        <w:tc>
          <w:tcPr>
            <w:tcW w:w="2509" w:type="dxa"/>
            <w:hideMark/>
          </w:tcPr>
          <w:p w14:paraId="218824F1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JAVNA USTANOVA - LOKALNA RAZVOJNA AGENCIJA</w:t>
            </w:r>
          </w:p>
        </w:tc>
        <w:tc>
          <w:tcPr>
            <w:tcW w:w="1466" w:type="dxa"/>
            <w:hideMark/>
          </w:tcPr>
          <w:p w14:paraId="7EFDE6AC" w14:textId="3F335DA0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1.582.250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6D874C5E" w14:textId="0FA09B5F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-265.605,00</w:t>
            </w:r>
          </w:p>
        </w:tc>
        <w:tc>
          <w:tcPr>
            <w:tcW w:w="842" w:type="dxa"/>
            <w:hideMark/>
          </w:tcPr>
          <w:p w14:paraId="7A89A3F6" w14:textId="1F459507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-16,79</w:t>
            </w:r>
          </w:p>
        </w:tc>
        <w:tc>
          <w:tcPr>
            <w:tcW w:w="1501" w:type="dxa"/>
            <w:hideMark/>
          </w:tcPr>
          <w:p w14:paraId="0D641147" w14:textId="55A7335B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1.316.645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451E39A3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7B6F2A2F" w14:textId="0A0CCEC0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50725</w:t>
            </w:r>
          </w:p>
        </w:tc>
        <w:tc>
          <w:tcPr>
            <w:tcW w:w="2509" w:type="dxa"/>
            <w:hideMark/>
          </w:tcPr>
          <w:p w14:paraId="72B2536B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LOKALNA RAZVOJNA AGENCIJA POŽEGA</w:t>
            </w:r>
          </w:p>
        </w:tc>
        <w:tc>
          <w:tcPr>
            <w:tcW w:w="1466" w:type="dxa"/>
            <w:hideMark/>
          </w:tcPr>
          <w:p w14:paraId="3E3723EF" w14:textId="4563EC5C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1.582.250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72" w:type="dxa"/>
            <w:hideMark/>
          </w:tcPr>
          <w:p w14:paraId="646A6F99" w14:textId="1A93D2C7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-265.605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42" w:type="dxa"/>
            <w:hideMark/>
          </w:tcPr>
          <w:p w14:paraId="62483060" w14:textId="2111188C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-16,79</w:t>
            </w:r>
          </w:p>
        </w:tc>
        <w:tc>
          <w:tcPr>
            <w:tcW w:w="1501" w:type="dxa"/>
            <w:hideMark/>
          </w:tcPr>
          <w:p w14:paraId="0674AD04" w14:textId="7030DF06" w:rsidR="00287CD8" w:rsidRPr="009677CC" w:rsidRDefault="00570E2A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1.316.645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053879B6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3395EB1F" w14:textId="2864415E" w:rsidR="00287CD8" w:rsidRPr="009677CC" w:rsidRDefault="00287CD8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004</w:t>
            </w:r>
          </w:p>
        </w:tc>
        <w:tc>
          <w:tcPr>
            <w:tcW w:w="2509" w:type="dxa"/>
            <w:hideMark/>
          </w:tcPr>
          <w:p w14:paraId="1969D3FD" w14:textId="77777777" w:rsidR="00287CD8" w:rsidRPr="009677CC" w:rsidRDefault="00287CD8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DRUŠTVENE DJELATNOSTI</w:t>
            </w:r>
          </w:p>
        </w:tc>
        <w:tc>
          <w:tcPr>
            <w:tcW w:w="1466" w:type="dxa"/>
            <w:hideMark/>
          </w:tcPr>
          <w:p w14:paraId="0BF64E94" w14:textId="4EE20D7A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30.192.330,00</w:t>
            </w:r>
          </w:p>
        </w:tc>
        <w:tc>
          <w:tcPr>
            <w:tcW w:w="1572" w:type="dxa"/>
            <w:hideMark/>
          </w:tcPr>
          <w:p w14:paraId="03314A0D" w14:textId="0A5B435F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-2.1</w:t>
            </w:r>
            <w:r w:rsidR="00EA4822" w:rsidRPr="009677CC">
              <w:rPr>
                <w:b/>
                <w:bCs/>
                <w:sz w:val="22"/>
                <w:szCs w:val="22"/>
              </w:rPr>
              <w:t>87</w:t>
            </w:r>
            <w:r w:rsidRPr="009677CC">
              <w:rPr>
                <w:b/>
                <w:bCs/>
                <w:sz w:val="22"/>
                <w:szCs w:val="22"/>
              </w:rPr>
              <w:t>.374,00</w:t>
            </w:r>
          </w:p>
        </w:tc>
        <w:tc>
          <w:tcPr>
            <w:tcW w:w="842" w:type="dxa"/>
            <w:hideMark/>
          </w:tcPr>
          <w:p w14:paraId="14F296BD" w14:textId="719CF4B4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-7,2</w:t>
            </w:r>
            <w:r w:rsidR="00EA4822" w:rsidRPr="009677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1" w:type="dxa"/>
            <w:hideMark/>
          </w:tcPr>
          <w:p w14:paraId="398D851D" w14:textId="22A8457B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2</w:t>
            </w:r>
            <w:r w:rsidR="00EA4822" w:rsidRPr="009677CC">
              <w:rPr>
                <w:b/>
                <w:bCs/>
                <w:sz w:val="22"/>
                <w:szCs w:val="22"/>
              </w:rPr>
              <w:t>8</w:t>
            </w:r>
            <w:r w:rsidRPr="009677CC">
              <w:rPr>
                <w:b/>
                <w:bCs/>
                <w:sz w:val="22"/>
                <w:szCs w:val="22"/>
              </w:rPr>
              <w:t>.</w:t>
            </w:r>
            <w:r w:rsidR="00EA4822" w:rsidRPr="009677CC">
              <w:rPr>
                <w:b/>
                <w:bCs/>
                <w:sz w:val="22"/>
                <w:szCs w:val="22"/>
              </w:rPr>
              <w:t>004</w:t>
            </w:r>
            <w:r w:rsidRPr="009677CC">
              <w:rPr>
                <w:b/>
                <w:bCs/>
                <w:sz w:val="22"/>
                <w:szCs w:val="22"/>
              </w:rPr>
              <w:t>.956,00</w:t>
            </w:r>
          </w:p>
        </w:tc>
      </w:tr>
      <w:tr w:rsidR="009677CC" w:rsidRPr="009677CC" w14:paraId="7883C166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62A1FC3A" w14:textId="292C6DAB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00401</w:t>
            </w:r>
          </w:p>
        </w:tc>
        <w:tc>
          <w:tcPr>
            <w:tcW w:w="2509" w:type="dxa"/>
            <w:hideMark/>
          </w:tcPr>
          <w:p w14:paraId="7B56375A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DRUŠTVENE DJELATNOSTI</w:t>
            </w:r>
          </w:p>
        </w:tc>
        <w:tc>
          <w:tcPr>
            <w:tcW w:w="1466" w:type="dxa"/>
            <w:hideMark/>
          </w:tcPr>
          <w:p w14:paraId="35966252" w14:textId="66850DF4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4.231.320,00</w:t>
            </w:r>
          </w:p>
        </w:tc>
        <w:tc>
          <w:tcPr>
            <w:tcW w:w="1572" w:type="dxa"/>
            <w:hideMark/>
          </w:tcPr>
          <w:p w14:paraId="6546A98C" w14:textId="15B0B697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</w:t>
            </w:r>
            <w:r w:rsidR="00EA4822" w:rsidRPr="009677CC">
              <w:rPr>
                <w:bCs/>
                <w:sz w:val="22"/>
                <w:szCs w:val="22"/>
              </w:rPr>
              <w:t>65</w:t>
            </w:r>
            <w:r w:rsidRPr="009677CC">
              <w:rPr>
                <w:bCs/>
                <w:sz w:val="22"/>
                <w:szCs w:val="22"/>
              </w:rPr>
              <w:t>.010,00</w:t>
            </w:r>
          </w:p>
        </w:tc>
        <w:tc>
          <w:tcPr>
            <w:tcW w:w="842" w:type="dxa"/>
            <w:hideMark/>
          </w:tcPr>
          <w:p w14:paraId="62E33DD1" w14:textId="0FE83EEF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-1,</w:t>
            </w:r>
            <w:r w:rsidR="00EA4822" w:rsidRPr="009677CC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501" w:type="dxa"/>
            <w:hideMark/>
          </w:tcPr>
          <w:p w14:paraId="42C77296" w14:textId="650E8677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4.16</w:t>
            </w:r>
            <w:r w:rsidR="00EA4822" w:rsidRPr="009677CC">
              <w:rPr>
                <w:bCs/>
                <w:sz w:val="22"/>
                <w:szCs w:val="22"/>
              </w:rPr>
              <w:t>6</w:t>
            </w:r>
            <w:r w:rsidRPr="009677CC">
              <w:rPr>
                <w:bCs/>
                <w:sz w:val="22"/>
                <w:szCs w:val="22"/>
              </w:rPr>
              <w:t>.310,00</w:t>
            </w:r>
          </w:p>
        </w:tc>
      </w:tr>
      <w:tr w:rsidR="009677CC" w:rsidRPr="009677CC" w14:paraId="02425D76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719F6F3F" w14:textId="28780DA4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00402</w:t>
            </w:r>
          </w:p>
        </w:tc>
        <w:tc>
          <w:tcPr>
            <w:tcW w:w="2509" w:type="dxa"/>
            <w:hideMark/>
          </w:tcPr>
          <w:p w14:paraId="0C7BB435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U KULTURI</w:t>
            </w:r>
          </w:p>
        </w:tc>
        <w:tc>
          <w:tcPr>
            <w:tcW w:w="1466" w:type="dxa"/>
            <w:hideMark/>
          </w:tcPr>
          <w:p w14:paraId="00BD1386" w14:textId="6C803FFB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3.580.770,00</w:t>
            </w:r>
          </w:p>
        </w:tc>
        <w:tc>
          <w:tcPr>
            <w:tcW w:w="1572" w:type="dxa"/>
            <w:hideMark/>
          </w:tcPr>
          <w:p w14:paraId="70A2ACFB" w14:textId="56497A6B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19.111,00</w:t>
            </w:r>
          </w:p>
        </w:tc>
        <w:tc>
          <w:tcPr>
            <w:tcW w:w="842" w:type="dxa"/>
            <w:hideMark/>
          </w:tcPr>
          <w:p w14:paraId="2BD306F5" w14:textId="6BC28E47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0,53</w:t>
            </w:r>
          </w:p>
        </w:tc>
        <w:tc>
          <w:tcPr>
            <w:tcW w:w="1501" w:type="dxa"/>
            <w:hideMark/>
          </w:tcPr>
          <w:p w14:paraId="59BEA810" w14:textId="3C1B2CCD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3.599.881,00</w:t>
            </w:r>
          </w:p>
        </w:tc>
      </w:tr>
      <w:tr w:rsidR="009677CC" w:rsidRPr="009677CC" w14:paraId="55B06E02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47081DB5" w14:textId="20B02239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32699</w:t>
            </w:r>
          </w:p>
        </w:tc>
        <w:tc>
          <w:tcPr>
            <w:tcW w:w="2509" w:type="dxa"/>
            <w:hideMark/>
          </w:tcPr>
          <w:p w14:paraId="1D68782F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GRADSKI MUZEJ POŽEGA</w:t>
            </w:r>
          </w:p>
        </w:tc>
        <w:tc>
          <w:tcPr>
            <w:tcW w:w="1466" w:type="dxa"/>
            <w:hideMark/>
          </w:tcPr>
          <w:p w14:paraId="4BD75BDF" w14:textId="495F8025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1.087.150,00</w:t>
            </w:r>
          </w:p>
        </w:tc>
        <w:tc>
          <w:tcPr>
            <w:tcW w:w="1572" w:type="dxa"/>
            <w:hideMark/>
          </w:tcPr>
          <w:p w14:paraId="1FEC47B7" w14:textId="03944683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17.579,00</w:t>
            </w:r>
          </w:p>
        </w:tc>
        <w:tc>
          <w:tcPr>
            <w:tcW w:w="842" w:type="dxa"/>
            <w:hideMark/>
          </w:tcPr>
          <w:p w14:paraId="4687F8D1" w14:textId="7A52492B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1,62</w:t>
            </w:r>
          </w:p>
        </w:tc>
        <w:tc>
          <w:tcPr>
            <w:tcW w:w="1501" w:type="dxa"/>
            <w:hideMark/>
          </w:tcPr>
          <w:p w14:paraId="696152C0" w14:textId="03A14279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1.104.729,00</w:t>
            </w:r>
          </w:p>
        </w:tc>
      </w:tr>
      <w:tr w:rsidR="009677CC" w:rsidRPr="009677CC" w14:paraId="4DEAB543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6C792FE5" w14:textId="201DAFCA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32703</w:t>
            </w:r>
          </w:p>
        </w:tc>
        <w:tc>
          <w:tcPr>
            <w:tcW w:w="2509" w:type="dxa"/>
            <w:hideMark/>
          </w:tcPr>
          <w:p w14:paraId="002F56FC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GRADSKA KNJIŽNICA POŽEGA</w:t>
            </w:r>
          </w:p>
        </w:tc>
        <w:tc>
          <w:tcPr>
            <w:tcW w:w="1466" w:type="dxa"/>
            <w:hideMark/>
          </w:tcPr>
          <w:p w14:paraId="3328BF84" w14:textId="1E0662E1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1.683.705,00</w:t>
            </w:r>
          </w:p>
        </w:tc>
        <w:tc>
          <w:tcPr>
            <w:tcW w:w="1572" w:type="dxa"/>
            <w:hideMark/>
          </w:tcPr>
          <w:p w14:paraId="3D47E6BF" w14:textId="748CE504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3.532,00</w:t>
            </w:r>
          </w:p>
        </w:tc>
        <w:tc>
          <w:tcPr>
            <w:tcW w:w="842" w:type="dxa"/>
            <w:hideMark/>
          </w:tcPr>
          <w:p w14:paraId="0A6C13AB" w14:textId="46D58C7F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0,21</w:t>
            </w:r>
          </w:p>
        </w:tc>
        <w:tc>
          <w:tcPr>
            <w:tcW w:w="1501" w:type="dxa"/>
            <w:hideMark/>
          </w:tcPr>
          <w:p w14:paraId="6F3B3846" w14:textId="47B69F98" w:rsidR="00287CD8" w:rsidRPr="009677CC" w:rsidRDefault="00CF740F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1.687.237,00</w:t>
            </w:r>
          </w:p>
        </w:tc>
      </w:tr>
      <w:tr w:rsidR="009677CC" w:rsidRPr="009677CC" w14:paraId="49C1A312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4038B178" w14:textId="2DED8C03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32711</w:t>
            </w:r>
          </w:p>
        </w:tc>
        <w:tc>
          <w:tcPr>
            <w:tcW w:w="2509" w:type="dxa"/>
            <w:hideMark/>
          </w:tcPr>
          <w:p w14:paraId="59FD122C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GRADSKO KAZALIŠTE POŽEGA</w:t>
            </w:r>
          </w:p>
        </w:tc>
        <w:tc>
          <w:tcPr>
            <w:tcW w:w="1466" w:type="dxa"/>
            <w:hideMark/>
          </w:tcPr>
          <w:p w14:paraId="5CAF0A0F" w14:textId="0E0CAD37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809.915,00</w:t>
            </w:r>
          </w:p>
        </w:tc>
        <w:tc>
          <w:tcPr>
            <w:tcW w:w="1572" w:type="dxa"/>
            <w:hideMark/>
          </w:tcPr>
          <w:p w14:paraId="4221C6C1" w14:textId="29C1AC1A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-2.000,00</w:t>
            </w:r>
          </w:p>
        </w:tc>
        <w:tc>
          <w:tcPr>
            <w:tcW w:w="842" w:type="dxa"/>
            <w:hideMark/>
          </w:tcPr>
          <w:p w14:paraId="24D2A3C5" w14:textId="182DC988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-0,25</w:t>
            </w:r>
          </w:p>
        </w:tc>
        <w:tc>
          <w:tcPr>
            <w:tcW w:w="1501" w:type="dxa"/>
            <w:hideMark/>
          </w:tcPr>
          <w:p w14:paraId="3FE1853F" w14:textId="13BDEC08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807.915,00</w:t>
            </w:r>
          </w:p>
        </w:tc>
      </w:tr>
      <w:tr w:rsidR="009677CC" w:rsidRPr="009677CC" w14:paraId="08E08C22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2499B392" w14:textId="0D210857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00403</w:t>
            </w:r>
          </w:p>
        </w:tc>
        <w:tc>
          <w:tcPr>
            <w:tcW w:w="2509" w:type="dxa"/>
            <w:hideMark/>
          </w:tcPr>
          <w:p w14:paraId="378AAD33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PREDŠKOLSKOG ODGOJA</w:t>
            </w:r>
          </w:p>
        </w:tc>
        <w:tc>
          <w:tcPr>
            <w:tcW w:w="1466" w:type="dxa"/>
            <w:hideMark/>
          </w:tcPr>
          <w:p w14:paraId="5E234A1A" w14:textId="3D91D83E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3.212.284,00</w:t>
            </w:r>
          </w:p>
        </w:tc>
        <w:tc>
          <w:tcPr>
            <w:tcW w:w="1572" w:type="dxa"/>
            <w:hideMark/>
          </w:tcPr>
          <w:p w14:paraId="0ADEB9B7" w14:textId="7225EFC1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-854.860,00</w:t>
            </w:r>
          </w:p>
        </w:tc>
        <w:tc>
          <w:tcPr>
            <w:tcW w:w="842" w:type="dxa"/>
            <w:hideMark/>
          </w:tcPr>
          <w:p w14:paraId="1D875509" w14:textId="034C337D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-26,61</w:t>
            </w:r>
          </w:p>
        </w:tc>
        <w:tc>
          <w:tcPr>
            <w:tcW w:w="1501" w:type="dxa"/>
            <w:hideMark/>
          </w:tcPr>
          <w:p w14:paraId="6BD5EC8B" w14:textId="5EEC11A1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2.357.424,00</w:t>
            </w:r>
          </w:p>
        </w:tc>
      </w:tr>
      <w:tr w:rsidR="009677CC" w:rsidRPr="009677CC" w14:paraId="78F09516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296C9CBD" w14:textId="47499C64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32738</w:t>
            </w:r>
          </w:p>
        </w:tc>
        <w:tc>
          <w:tcPr>
            <w:tcW w:w="2509" w:type="dxa"/>
            <w:hideMark/>
          </w:tcPr>
          <w:p w14:paraId="46C5D4D4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DJEČJI VRTIĆ POŽEGA</w:t>
            </w:r>
          </w:p>
        </w:tc>
        <w:tc>
          <w:tcPr>
            <w:tcW w:w="1466" w:type="dxa"/>
            <w:hideMark/>
          </w:tcPr>
          <w:p w14:paraId="2E829E83" w14:textId="3618F03F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3.212.284,00</w:t>
            </w:r>
          </w:p>
        </w:tc>
        <w:tc>
          <w:tcPr>
            <w:tcW w:w="1572" w:type="dxa"/>
            <w:hideMark/>
          </w:tcPr>
          <w:p w14:paraId="6407C4BB" w14:textId="12BBE7DF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-854.860,00</w:t>
            </w:r>
          </w:p>
        </w:tc>
        <w:tc>
          <w:tcPr>
            <w:tcW w:w="842" w:type="dxa"/>
            <w:hideMark/>
          </w:tcPr>
          <w:p w14:paraId="19131C2B" w14:textId="4F5246A5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-26,61</w:t>
            </w:r>
          </w:p>
        </w:tc>
        <w:tc>
          <w:tcPr>
            <w:tcW w:w="1501" w:type="dxa"/>
            <w:hideMark/>
          </w:tcPr>
          <w:p w14:paraId="0D2C561F" w14:textId="41CF437B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2.357.424,00</w:t>
            </w:r>
          </w:p>
        </w:tc>
      </w:tr>
      <w:tr w:rsidR="009677CC" w:rsidRPr="009677CC" w14:paraId="229E6B7F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4094652D" w14:textId="6E01774D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00404</w:t>
            </w:r>
          </w:p>
        </w:tc>
        <w:tc>
          <w:tcPr>
            <w:tcW w:w="2509" w:type="dxa"/>
            <w:hideMark/>
          </w:tcPr>
          <w:p w14:paraId="17FA56AD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JAVNE USTANOVE ODGOJA I OBRAZOVANJA - OSNOVNE ŠKOLE</w:t>
            </w:r>
          </w:p>
        </w:tc>
        <w:tc>
          <w:tcPr>
            <w:tcW w:w="1466" w:type="dxa"/>
            <w:hideMark/>
          </w:tcPr>
          <w:p w14:paraId="79DBF0D4" w14:textId="0985D4CC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17.384.026,00</w:t>
            </w:r>
          </w:p>
        </w:tc>
        <w:tc>
          <w:tcPr>
            <w:tcW w:w="1572" w:type="dxa"/>
            <w:hideMark/>
          </w:tcPr>
          <w:p w14:paraId="05B2E7E2" w14:textId="588D19E7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-1.286.615,00</w:t>
            </w:r>
          </w:p>
        </w:tc>
        <w:tc>
          <w:tcPr>
            <w:tcW w:w="842" w:type="dxa"/>
            <w:hideMark/>
          </w:tcPr>
          <w:p w14:paraId="3B768E1C" w14:textId="030CEA6A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-7,40</w:t>
            </w:r>
          </w:p>
        </w:tc>
        <w:tc>
          <w:tcPr>
            <w:tcW w:w="1501" w:type="dxa"/>
            <w:hideMark/>
          </w:tcPr>
          <w:p w14:paraId="4E36AD2D" w14:textId="4432A4B5" w:rsidR="00287CD8" w:rsidRPr="009677CC" w:rsidRDefault="000F1C30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16.097.411,00</w:t>
            </w:r>
          </w:p>
        </w:tc>
      </w:tr>
      <w:tr w:rsidR="009677CC" w:rsidRPr="009677CC" w14:paraId="6B8845F2" w14:textId="77777777" w:rsidTr="009677CC">
        <w:trPr>
          <w:trHeight w:val="450"/>
          <w:jc w:val="center"/>
        </w:trPr>
        <w:tc>
          <w:tcPr>
            <w:tcW w:w="1172" w:type="dxa"/>
          </w:tcPr>
          <w:p w14:paraId="486360BA" w14:textId="494AB00C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00404</w:t>
            </w:r>
          </w:p>
        </w:tc>
        <w:tc>
          <w:tcPr>
            <w:tcW w:w="2509" w:type="dxa"/>
          </w:tcPr>
          <w:p w14:paraId="27829404" w14:textId="43E3DDDF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JU ODGOJA I OBRAZOVANJA - OSNOVNE ŠKOLE (KATOLIČKA OŠ, PRIJEVOZ UČENIKA, ULAGANJE U GRAĐEVINSKE OBJEKTE)</w:t>
            </w:r>
          </w:p>
        </w:tc>
        <w:tc>
          <w:tcPr>
            <w:tcW w:w="1466" w:type="dxa"/>
          </w:tcPr>
          <w:p w14:paraId="57752C20" w14:textId="10C6C241" w:rsidR="00287CD8" w:rsidRPr="009677CC" w:rsidRDefault="005C651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892.386,00</w:t>
            </w:r>
          </w:p>
        </w:tc>
        <w:tc>
          <w:tcPr>
            <w:tcW w:w="1572" w:type="dxa"/>
          </w:tcPr>
          <w:p w14:paraId="452ABD30" w14:textId="7DE39FBA" w:rsidR="00287CD8" w:rsidRPr="009677CC" w:rsidRDefault="005C651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170.901,00</w:t>
            </w:r>
          </w:p>
        </w:tc>
        <w:tc>
          <w:tcPr>
            <w:tcW w:w="842" w:type="dxa"/>
          </w:tcPr>
          <w:p w14:paraId="13A8B40E" w14:textId="4973FBAA" w:rsidR="00287CD8" w:rsidRPr="009677CC" w:rsidRDefault="005C651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-19,15</w:t>
            </w:r>
          </w:p>
        </w:tc>
        <w:tc>
          <w:tcPr>
            <w:tcW w:w="1501" w:type="dxa"/>
          </w:tcPr>
          <w:p w14:paraId="4A1039DA" w14:textId="39773AB7" w:rsidR="00287CD8" w:rsidRPr="009677CC" w:rsidRDefault="005C651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721.485,00</w:t>
            </w:r>
          </w:p>
        </w:tc>
      </w:tr>
      <w:tr w:rsidR="009677CC" w:rsidRPr="009677CC" w14:paraId="1535F031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328E99F0" w14:textId="51508590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9755</w:t>
            </w:r>
          </w:p>
        </w:tc>
        <w:tc>
          <w:tcPr>
            <w:tcW w:w="2509" w:type="dxa"/>
            <w:hideMark/>
          </w:tcPr>
          <w:p w14:paraId="23B46BDF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"DOBRIŠE CESARIĆA"</w:t>
            </w:r>
          </w:p>
        </w:tc>
        <w:tc>
          <w:tcPr>
            <w:tcW w:w="1466" w:type="dxa"/>
            <w:hideMark/>
          </w:tcPr>
          <w:p w14:paraId="5B9B2220" w14:textId="5FF697F6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3.675.976,00</w:t>
            </w:r>
          </w:p>
        </w:tc>
        <w:tc>
          <w:tcPr>
            <w:tcW w:w="1572" w:type="dxa"/>
            <w:hideMark/>
          </w:tcPr>
          <w:p w14:paraId="697916D7" w14:textId="0A51AD78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156.500,00</w:t>
            </w:r>
          </w:p>
        </w:tc>
        <w:tc>
          <w:tcPr>
            <w:tcW w:w="842" w:type="dxa"/>
            <w:hideMark/>
          </w:tcPr>
          <w:p w14:paraId="656E218D" w14:textId="026EAD16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4,26</w:t>
            </w:r>
          </w:p>
        </w:tc>
        <w:tc>
          <w:tcPr>
            <w:tcW w:w="1501" w:type="dxa"/>
            <w:hideMark/>
          </w:tcPr>
          <w:p w14:paraId="4D0A0A32" w14:textId="4AAFE183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3.832.476,00</w:t>
            </w:r>
          </w:p>
        </w:tc>
      </w:tr>
      <w:tr w:rsidR="009677CC" w:rsidRPr="009677CC" w14:paraId="034AD1C5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514C3AFA" w14:textId="1920D0EA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9763</w:t>
            </w:r>
          </w:p>
        </w:tc>
        <w:tc>
          <w:tcPr>
            <w:tcW w:w="2509" w:type="dxa"/>
            <w:hideMark/>
          </w:tcPr>
          <w:p w14:paraId="747F64FB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"JULIJA KEMPFA"</w:t>
            </w:r>
          </w:p>
        </w:tc>
        <w:tc>
          <w:tcPr>
            <w:tcW w:w="1466" w:type="dxa"/>
            <w:hideMark/>
          </w:tcPr>
          <w:p w14:paraId="5651DB0E" w14:textId="530F3ACA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6.060.997,00</w:t>
            </w:r>
          </w:p>
        </w:tc>
        <w:tc>
          <w:tcPr>
            <w:tcW w:w="1572" w:type="dxa"/>
            <w:hideMark/>
          </w:tcPr>
          <w:p w14:paraId="1D4D9B41" w14:textId="348B1F10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80.710,00</w:t>
            </w:r>
          </w:p>
        </w:tc>
        <w:tc>
          <w:tcPr>
            <w:tcW w:w="842" w:type="dxa"/>
            <w:hideMark/>
          </w:tcPr>
          <w:p w14:paraId="4549C70F" w14:textId="4FD43941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1501" w:type="dxa"/>
            <w:hideMark/>
          </w:tcPr>
          <w:p w14:paraId="3A665800" w14:textId="16ED3F8D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6.141.707,00</w:t>
            </w:r>
          </w:p>
        </w:tc>
      </w:tr>
      <w:tr w:rsidR="009677CC" w:rsidRPr="009677CC" w14:paraId="3EBFF6CF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685E16E8" w14:textId="1AFB4E31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lastRenderedPageBreak/>
              <w:t>Proračunski korisnik 9771</w:t>
            </w:r>
          </w:p>
        </w:tc>
        <w:tc>
          <w:tcPr>
            <w:tcW w:w="2509" w:type="dxa"/>
            <w:hideMark/>
          </w:tcPr>
          <w:p w14:paraId="7CA19FCA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OŠ "ANTUNA KANIŽLIĆA"</w:t>
            </w:r>
          </w:p>
        </w:tc>
        <w:tc>
          <w:tcPr>
            <w:tcW w:w="1466" w:type="dxa"/>
            <w:hideMark/>
          </w:tcPr>
          <w:p w14:paraId="5F7C1399" w14:textId="3AF3C53E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6.754.667,00</w:t>
            </w:r>
          </w:p>
        </w:tc>
        <w:tc>
          <w:tcPr>
            <w:tcW w:w="1572" w:type="dxa"/>
            <w:hideMark/>
          </w:tcPr>
          <w:p w14:paraId="3608C14E" w14:textId="62626754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-1.352.924,00</w:t>
            </w:r>
          </w:p>
        </w:tc>
        <w:tc>
          <w:tcPr>
            <w:tcW w:w="842" w:type="dxa"/>
            <w:hideMark/>
          </w:tcPr>
          <w:p w14:paraId="08EC9652" w14:textId="088541B6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-20,03</w:t>
            </w:r>
          </w:p>
        </w:tc>
        <w:tc>
          <w:tcPr>
            <w:tcW w:w="1501" w:type="dxa"/>
            <w:hideMark/>
          </w:tcPr>
          <w:p w14:paraId="774F781D" w14:textId="121D5FCD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5.401.743,00</w:t>
            </w:r>
          </w:p>
        </w:tc>
      </w:tr>
      <w:tr w:rsidR="009677CC" w:rsidRPr="009677CC" w14:paraId="06844008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656C29DB" w14:textId="35F37595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00405</w:t>
            </w:r>
          </w:p>
        </w:tc>
        <w:tc>
          <w:tcPr>
            <w:tcW w:w="2509" w:type="dxa"/>
            <w:hideMark/>
          </w:tcPr>
          <w:p w14:paraId="018E9B6B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VIJEĆA MANJINA</w:t>
            </w:r>
          </w:p>
        </w:tc>
        <w:tc>
          <w:tcPr>
            <w:tcW w:w="1466" w:type="dxa"/>
            <w:hideMark/>
          </w:tcPr>
          <w:p w14:paraId="56ECF7B7" w14:textId="34F4C987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44.070,00</w:t>
            </w:r>
          </w:p>
        </w:tc>
        <w:tc>
          <w:tcPr>
            <w:tcW w:w="1572" w:type="dxa"/>
            <w:hideMark/>
          </w:tcPr>
          <w:p w14:paraId="5BE808E3" w14:textId="4EF5EF4B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6FA9D6DC" w14:textId="67C05FEC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hideMark/>
          </w:tcPr>
          <w:p w14:paraId="61A4B36D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44.070,00</w:t>
            </w:r>
          </w:p>
        </w:tc>
      </w:tr>
      <w:tr w:rsidR="009677CC" w:rsidRPr="009677CC" w14:paraId="77C0A84E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1A9927CF" w14:textId="57F2AF6B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46786</w:t>
            </w:r>
          </w:p>
        </w:tc>
        <w:tc>
          <w:tcPr>
            <w:tcW w:w="2509" w:type="dxa"/>
            <w:hideMark/>
          </w:tcPr>
          <w:p w14:paraId="0098ECD2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GRADSKO VIJEĆE SRPSKE NACIONALNE MANJINE POŽEGA</w:t>
            </w:r>
          </w:p>
        </w:tc>
        <w:tc>
          <w:tcPr>
            <w:tcW w:w="1466" w:type="dxa"/>
            <w:hideMark/>
          </w:tcPr>
          <w:p w14:paraId="05C1E5BF" w14:textId="7D97C5D5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44.070,00</w:t>
            </w:r>
          </w:p>
        </w:tc>
        <w:tc>
          <w:tcPr>
            <w:tcW w:w="1572" w:type="dxa"/>
            <w:hideMark/>
          </w:tcPr>
          <w:p w14:paraId="7A977F5D" w14:textId="248F26A6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20FE1A37" w14:textId="4A917642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</w:t>
            </w:r>
            <w:r w:rsidR="00287CD8" w:rsidRPr="009677C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hideMark/>
          </w:tcPr>
          <w:p w14:paraId="4F407B22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44.070,00</w:t>
            </w:r>
          </w:p>
        </w:tc>
      </w:tr>
      <w:tr w:rsidR="009677CC" w:rsidRPr="009677CC" w14:paraId="3332F407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3505BA30" w14:textId="144070FE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00406</w:t>
            </w:r>
          </w:p>
        </w:tc>
        <w:tc>
          <w:tcPr>
            <w:tcW w:w="2509" w:type="dxa"/>
            <w:hideMark/>
          </w:tcPr>
          <w:p w14:paraId="37C49509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JAVNA USTANOVA U SPORTU</w:t>
            </w:r>
          </w:p>
        </w:tc>
        <w:tc>
          <w:tcPr>
            <w:tcW w:w="1466" w:type="dxa"/>
            <w:hideMark/>
          </w:tcPr>
          <w:p w14:paraId="0B964CB2" w14:textId="2EEFD67C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1.739.860,00</w:t>
            </w:r>
          </w:p>
        </w:tc>
        <w:tc>
          <w:tcPr>
            <w:tcW w:w="1572" w:type="dxa"/>
            <w:hideMark/>
          </w:tcPr>
          <w:p w14:paraId="2008F4A6" w14:textId="24A071E7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129E4FB0" w14:textId="3A3E6B5B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5E63BC12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1.739.860,00</w:t>
            </w:r>
          </w:p>
        </w:tc>
      </w:tr>
      <w:tr w:rsidR="009677CC" w:rsidRPr="009677CC" w14:paraId="28FA1CFD" w14:textId="77777777" w:rsidTr="009677CC">
        <w:trPr>
          <w:trHeight w:val="450"/>
          <w:jc w:val="center"/>
        </w:trPr>
        <w:tc>
          <w:tcPr>
            <w:tcW w:w="1172" w:type="dxa"/>
            <w:hideMark/>
          </w:tcPr>
          <w:p w14:paraId="44C88330" w14:textId="073B80F1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Proračunski korisnik 48347</w:t>
            </w:r>
          </w:p>
        </w:tc>
        <w:tc>
          <w:tcPr>
            <w:tcW w:w="2509" w:type="dxa"/>
            <w:hideMark/>
          </w:tcPr>
          <w:p w14:paraId="5B5DAFB0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JAVNA USTANOVA ZA UPRAVLJANJE SPORTSKIM OBJEKTIMA U VLASNIŠTVU GRADA POŽEGE-SPORTSKI OBJEKTI POŽEGA</w:t>
            </w:r>
          </w:p>
        </w:tc>
        <w:tc>
          <w:tcPr>
            <w:tcW w:w="1466" w:type="dxa"/>
            <w:hideMark/>
          </w:tcPr>
          <w:p w14:paraId="3429D851" w14:textId="712F91C6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1.739.860,00</w:t>
            </w:r>
          </w:p>
        </w:tc>
        <w:tc>
          <w:tcPr>
            <w:tcW w:w="1572" w:type="dxa"/>
            <w:hideMark/>
          </w:tcPr>
          <w:p w14:paraId="445C6C0C" w14:textId="5EC71864" w:rsidR="00287CD8" w:rsidRPr="009677CC" w:rsidRDefault="00CE2635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2" w:type="dxa"/>
            <w:hideMark/>
          </w:tcPr>
          <w:p w14:paraId="28A9F349" w14:textId="651A97FF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1" w:type="dxa"/>
            <w:hideMark/>
          </w:tcPr>
          <w:p w14:paraId="1AE6F2B7" w14:textId="77777777" w:rsidR="00287CD8" w:rsidRPr="009677CC" w:rsidRDefault="00287CD8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1.739.860,00</w:t>
            </w:r>
          </w:p>
        </w:tc>
      </w:tr>
      <w:tr w:rsidR="009677CC" w:rsidRPr="009677CC" w14:paraId="7EDC75BB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1E36ECD4" w14:textId="10CE47AA" w:rsidR="00287CD8" w:rsidRPr="009677CC" w:rsidRDefault="00287CD8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005</w:t>
            </w:r>
          </w:p>
        </w:tc>
        <w:tc>
          <w:tcPr>
            <w:tcW w:w="2509" w:type="dxa"/>
            <w:hideMark/>
          </w:tcPr>
          <w:p w14:paraId="3C284F77" w14:textId="77777777" w:rsidR="00287CD8" w:rsidRPr="009677CC" w:rsidRDefault="00287CD8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IMOVINSKO - PRAVNE POSLOVE</w:t>
            </w:r>
          </w:p>
        </w:tc>
        <w:tc>
          <w:tcPr>
            <w:tcW w:w="1466" w:type="dxa"/>
            <w:hideMark/>
          </w:tcPr>
          <w:p w14:paraId="717D68E3" w14:textId="4E736423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380.500,00</w:t>
            </w:r>
          </w:p>
        </w:tc>
        <w:tc>
          <w:tcPr>
            <w:tcW w:w="1572" w:type="dxa"/>
            <w:hideMark/>
          </w:tcPr>
          <w:p w14:paraId="732DB271" w14:textId="0FDC71EE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-252.000,00</w:t>
            </w:r>
          </w:p>
        </w:tc>
        <w:tc>
          <w:tcPr>
            <w:tcW w:w="842" w:type="dxa"/>
            <w:hideMark/>
          </w:tcPr>
          <w:p w14:paraId="3B237B22" w14:textId="65FBE3A1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-66,23</w:t>
            </w:r>
          </w:p>
        </w:tc>
        <w:tc>
          <w:tcPr>
            <w:tcW w:w="1501" w:type="dxa"/>
            <w:hideMark/>
          </w:tcPr>
          <w:p w14:paraId="5B379859" w14:textId="2E8FCD14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128.500,00</w:t>
            </w:r>
          </w:p>
        </w:tc>
      </w:tr>
      <w:tr w:rsidR="009677CC" w:rsidRPr="009677CC" w14:paraId="42A5D301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6A9D7A3F" w14:textId="549FFB61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00501</w:t>
            </w:r>
          </w:p>
        </w:tc>
        <w:tc>
          <w:tcPr>
            <w:tcW w:w="2509" w:type="dxa"/>
            <w:hideMark/>
          </w:tcPr>
          <w:p w14:paraId="3667B1B5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IMOVINSKO - PRAVNE POSLOVE</w:t>
            </w:r>
          </w:p>
        </w:tc>
        <w:tc>
          <w:tcPr>
            <w:tcW w:w="1466" w:type="dxa"/>
            <w:hideMark/>
          </w:tcPr>
          <w:p w14:paraId="43193908" w14:textId="0283A562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380.500,00</w:t>
            </w:r>
          </w:p>
        </w:tc>
        <w:tc>
          <w:tcPr>
            <w:tcW w:w="1572" w:type="dxa"/>
            <w:hideMark/>
          </w:tcPr>
          <w:p w14:paraId="39ADBE4D" w14:textId="208267E9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-252.000,00</w:t>
            </w:r>
          </w:p>
        </w:tc>
        <w:tc>
          <w:tcPr>
            <w:tcW w:w="842" w:type="dxa"/>
            <w:hideMark/>
          </w:tcPr>
          <w:p w14:paraId="596A5402" w14:textId="69184396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-66,23</w:t>
            </w:r>
          </w:p>
        </w:tc>
        <w:tc>
          <w:tcPr>
            <w:tcW w:w="1501" w:type="dxa"/>
            <w:hideMark/>
          </w:tcPr>
          <w:p w14:paraId="5F25A7DE" w14:textId="60758A85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128.500,00</w:t>
            </w:r>
          </w:p>
        </w:tc>
      </w:tr>
      <w:tr w:rsidR="009677CC" w:rsidRPr="009677CC" w14:paraId="7AFE10E4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6E9CA1A8" w14:textId="187BA20A" w:rsidR="00287CD8" w:rsidRPr="009677CC" w:rsidRDefault="00287CD8" w:rsidP="006B2459">
            <w:pPr>
              <w:autoSpaceDE w:val="0"/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9677CC">
              <w:rPr>
                <w:b/>
                <w:bCs/>
                <w:sz w:val="22"/>
                <w:szCs w:val="22"/>
                <w:lang w:val="hr-HR"/>
              </w:rPr>
              <w:t>Razdjel 006</w:t>
            </w:r>
          </w:p>
        </w:tc>
        <w:tc>
          <w:tcPr>
            <w:tcW w:w="2509" w:type="dxa"/>
            <w:hideMark/>
          </w:tcPr>
          <w:p w14:paraId="09F29123" w14:textId="77777777" w:rsidR="00287CD8" w:rsidRPr="009677CC" w:rsidRDefault="00287CD8" w:rsidP="006B245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UPRAVNI ODJEL ZA FINANCIJE I PRORAČUN</w:t>
            </w:r>
          </w:p>
        </w:tc>
        <w:tc>
          <w:tcPr>
            <w:tcW w:w="1466" w:type="dxa"/>
            <w:hideMark/>
          </w:tcPr>
          <w:p w14:paraId="39B69CCB" w14:textId="35472DCE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3.806.810,00</w:t>
            </w:r>
          </w:p>
        </w:tc>
        <w:tc>
          <w:tcPr>
            <w:tcW w:w="1572" w:type="dxa"/>
            <w:hideMark/>
          </w:tcPr>
          <w:p w14:paraId="2DA9F09D" w14:textId="2249974F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59.700,00</w:t>
            </w:r>
          </w:p>
        </w:tc>
        <w:tc>
          <w:tcPr>
            <w:tcW w:w="842" w:type="dxa"/>
            <w:hideMark/>
          </w:tcPr>
          <w:p w14:paraId="6B807AD8" w14:textId="22E7B7D9" w:rsidR="00287CD8" w:rsidRPr="009677CC" w:rsidRDefault="001750BC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1,57</w:t>
            </w:r>
          </w:p>
        </w:tc>
        <w:tc>
          <w:tcPr>
            <w:tcW w:w="1501" w:type="dxa"/>
            <w:hideMark/>
          </w:tcPr>
          <w:p w14:paraId="3AF59912" w14:textId="4B83BDF5" w:rsidR="00287CD8" w:rsidRPr="009677CC" w:rsidRDefault="00287CD8" w:rsidP="006B2459">
            <w:pPr>
              <w:autoSpaceDE w:val="0"/>
              <w:jc w:val="right"/>
              <w:rPr>
                <w:b/>
                <w:bCs/>
                <w:sz w:val="22"/>
                <w:szCs w:val="22"/>
              </w:rPr>
            </w:pPr>
            <w:r w:rsidRPr="009677CC">
              <w:rPr>
                <w:b/>
                <w:bCs/>
                <w:sz w:val="22"/>
                <w:szCs w:val="22"/>
              </w:rPr>
              <w:t>3.8</w:t>
            </w:r>
            <w:r w:rsidR="001750BC" w:rsidRPr="009677CC">
              <w:rPr>
                <w:b/>
                <w:bCs/>
                <w:sz w:val="22"/>
                <w:szCs w:val="22"/>
              </w:rPr>
              <w:t>66.510</w:t>
            </w:r>
            <w:r w:rsidRPr="009677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677CC" w:rsidRPr="009677CC" w14:paraId="2E4267AD" w14:textId="77777777" w:rsidTr="009677CC">
        <w:trPr>
          <w:trHeight w:val="300"/>
          <w:jc w:val="center"/>
        </w:trPr>
        <w:tc>
          <w:tcPr>
            <w:tcW w:w="1172" w:type="dxa"/>
            <w:hideMark/>
          </w:tcPr>
          <w:p w14:paraId="7FDAF45C" w14:textId="5A041F64" w:rsidR="00287CD8" w:rsidRPr="009677CC" w:rsidRDefault="00287CD8" w:rsidP="006B2459">
            <w:pPr>
              <w:autoSpaceDE w:val="0"/>
              <w:jc w:val="both"/>
              <w:rPr>
                <w:bCs/>
                <w:sz w:val="22"/>
                <w:szCs w:val="22"/>
                <w:lang w:val="hr-HR"/>
              </w:rPr>
            </w:pPr>
            <w:r w:rsidRPr="009677CC">
              <w:rPr>
                <w:bCs/>
                <w:sz w:val="22"/>
                <w:szCs w:val="22"/>
                <w:lang w:val="hr-HR"/>
              </w:rPr>
              <w:t>Glava 00601</w:t>
            </w:r>
          </w:p>
        </w:tc>
        <w:tc>
          <w:tcPr>
            <w:tcW w:w="2509" w:type="dxa"/>
            <w:hideMark/>
          </w:tcPr>
          <w:p w14:paraId="0DDD5F3E" w14:textId="77777777" w:rsidR="00287CD8" w:rsidRPr="009677CC" w:rsidRDefault="00287CD8" w:rsidP="006B2459">
            <w:pPr>
              <w:autoSpaceDE w:val="0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UPRAVNI ODJEL ZA FINANCIJE I PRORAČUN</w:t>
            </w:r>
          </w:p>
        </w:tc>
        <w:tc>
          <w:tcPr>
            <w:tcW w:w="1466" w:type="dxa"/>
            <w:hideMark/>
          </w:tcPr>
          <w:p w14:paraId="009B7DB5" w14:textId="42C0FA49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3.806.810,00</w:t>
            </w:r>
          </w:p>
        </w:tc>
        <w:tc>
          <w:tcPr>
            <w:tcW w:w="1572" w:type="dxa"/>
            <w:hideMark/>
          </w:tcPr>
          <w:p w14:paraId="6832345C" w14:textId="609ADD40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59.700,00</w:t>
            </w:r>
          </w:p>
        </w:tc>
        <w:tc>
          <w:tcPr>
            <w:tcW w:w="842" w:type="dxa"/>
            <w:hideMark/>
          </w:tcPr>
          <w:p w14:paraId="690FA2AF" w14:textId="64347A36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1,57</w:t>
            </w:r>
          </w:p>
        </w:tc>
        <w:tc>
          <w:tcPr>
            <w:tcW w:w="1501" w:type="dxa"/>
            <w:hideMark/>
          </w:tcPr>
          <w:p w14:paraId="17E10325" w14:textId="34CB3578" w:rsidR="00287CD8" w:rsidRPr="009677CC" w:rsidRDefault="001750BC" w:rsidP="006B2459">
            <w:pPr>
              <w:autoSpaceDE w:val="0"/>
              <w:jc w:val="right"/>
              <w:rPr>
                <w:bCs/>
                <w:sz w:val="22"/>
                <w:szCs w:val="22"/>
              </w:rPr>
            </w:pPr>
            <w:r w:rsidRPr="009677CC">
              <w:rPr>
                <w:bCs/>
                <w:sz w:val="22"/>
                <w:szCs w:val="22"/>
              </w:rPr>
              <w:t>3.866.510,00</w:t>
            </w:r>
          </w:p>
        </w:tc>
      </w:tr>
    </w:tbl>
    <w:p w14:paraId="79A304B0" w14:textId="77777777" w:rsidR="009973A6" w:rsidRPr="009677CC" w:rsidRDefault="009973A6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716F472A" w14:textId="084BD889" w:rsidR="00AA76BC" w:rsidRPr="009677CC" w:rsidRDefault="00CE74A3" w:rsidP="0013724B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U Up</w:t>
      </w:r>
      <w:r w:rsidR="00193A5E" w:rsidRPr="009677CC">
        <w:rPr>
          <w:bCs/>
          <w:sz w:val="22"/>
          <w:szCs w:val="22"/>
          <w:lang w:val="hr-HR"/>
        </w:rPr>
        <w:t>ravno</w:t>
      </w:r>
      <w:r w:rsidRPr="009677CC">
        <w:rPr>
          <w:bCs/>
          <w:sz w:val="22"/>
          <w:szCs w:val="22"/>
          <w:lang w:val="hr-HR"/>
        </w:rPr>
        <w:t>m</w:t>
      </w:r>
      <w:r w:rsidR="00193A5E" w:rsidRPr="009677CC">
        <w:rPr>
          <w:bCs/>
          <w:sz w:val="22"/>
          <w:szCs w:val="22"/>
          <w:lang w:val="hr-HR"/>
        </w:rPr>
        <w:t xml:space="preserve"> odjel</w:t>
      </w:r>
      <w:r w:rsidRPr="009677CC">
        <w:rPr>
          <w:bCs/>
          <w:sz w:val="22"/>
          <w:szCs w:val="22"/>
          <w:lang w:val="hr-HR"/>
        </w:rPr>
        <w:t>u</w:t>
      </w:r>
      <w:r w:rsidR="00193A5E" w:rsidRPr="009677CC">
        <w:rPr>
          <w:bCs/>
          <w:sz w:val="22"/>
          <w:szCs w:val="22"/>
          <w:lang w:val="hr-HR"/>
        </w:rPr>
        <w:t xml:space="preserve"> za financije – razdjel 001 </w:t>
      </w:r>
      <w:r w:rsidRPr="009677CC">
        <w:rPr>
          <w:bCs/>
          <w:sz w:val="22"/>
          <w:szCs w:val="22"/>
          <w:lang w:val="hr-HR"/>
        </w:rPr>
        <w:t xml:space="preserve"> rashodi se </w:t>
      </w:r>
      <w:r w:rsidR="00193A5E" w:rsidRPr="009677CC">
        <w:rPr>
          <w:bCs/>
          <w:sz w:val="22"/>
          <w:szCs w:val="22"/>
          <w:lang w:val="hr-HR"/>
        </w:rPr>
        <w:t>smanjuju</w:t>
      </w:r>
      <w:r w:rsidRPr="009677CC">
        <w:rPr>
          <w:bCs/>
          <w:sz w:val="22"/>
          <w:szCs w:val="22"/>
          <w:lang w:val="hr-HR"/>
        </w:rPr>
        <w:t xml:space="preserve"> </w:t>
      </w:r>
      <w:r w:rsidR="00193A5E" w:rsidRPr="009677CC">
        <w:rPr>
          <w:bCs/>
          <w:sz w:val="22"/>
          <w:szCs w:val="22"/>
          <w:lang w:val="hr-HR"/>
        </w:rPr>
        <w:t xml:space="preserve">za </w:t>
      </w:r>
      <w:r w:rsidR="009137FB" w:rsidRPr="009677CC">
        <w:rPr>
          <w:bCs/>
          <w:sz w:val="22"/>
          <w:szCs w:val="22"/>
          <w:lang w:val="hr-HR"/>
        </w:rPr>
        <w:t xml:space="preserve">59.700,00 </w:t>
      </w:r>
      <w:r w:rsidR="00193A5E" w:rsidRPr="009677CC">
        <w:rPr>
          <w:bCs/>
          <w:sz w:val="22"/>
          <w:szCs w:val="22"/>
          <w:lang w:val="hr-HR"/>
        </w:rPr>
        <w:t xml:space="preserve"> kn ili za </w:t>
      </w:r>
      <w:r w:rsidR="009137FB" w:rsidRPr="009677CC">
        <w:rPr>
          <w:bCs/>
          <w:sz w:val="22"/>
          <w:szCs w:val="22"/>
          <w:lang w:val="hr-HR"/>
        </w:rPr>
        <w:t xml:space="preserve">0,53 </w:t>
      </w:r>
      <w:r w:rsidR="00193A5E" w:rsidRPr="009677CC">
        <w:rPr>
          <w:bCs/>
          <w:sz w:val="22"/>
          <w:szCs w:val="22"/>
          <w:lang w:val="hr-HR"/>
        </w:rPr>
        <w:t>% i sada iznose 11.</w:t>
      </w:r>
      <w:r w:rsidR="009137FB" w:rsidRPr="009677CC">
        <w:rPr>
          <w:bCs/>
          <w:sz w:val="22"/>
          <w:szCs w:val="22"/>
          <w:lang w:val="hr-HR"/>
        </w:rPr>
        <w:t>199.965</w:t>
      </w:r>
      <w:r w:rsidR="00193A5E" w:rsidRPr="009677CC">
        <w:rPr>
          <w:bCs/>
          <w:sz w:val="22"/>
          <w:szCs w:val="22"/>
          <w:lang w:val="hr-HR"/>
        </w:rPr>
        <w:t>,00 kn, odnosno smanjuju se do procijenjen</w:t>
      </w:r>
      <w:r w:rsidR="00FA4793" w:rsidRPr="009677CC">
        <w:rPr>
          <w:bCs/>
          <w:sz w:val="22"/>
          <w:szCs w:val="22"/>
          <w:lang w:val="hr-HR"/>
        </w:rPr>
        <w:t>og iznosa izvršenja po pojedinom programu, aktivnosti i projektu</w:t>
      </w:r>
      <w:r w:rsidR="004B2397" w:rsidRPr="009677CC">
        <w:rPr>
          <w:bCs/>
          <w:sz w:val="22"/>
          <w:szCs w:val="22"/>
          <w:lang w:val="hr-HR"/>
        </w:rPr>
        <w:t xml:space="preserve"> i prenijeti na novi Upravni odjel za financije i proračun.</w:t>
      </w:r>
    </w:p>
    <w:p w14:paraId="2FBD2346" w14:textId="77777777" w:rsidR="00261FA3" w:rsidRPr="009677CC" w:rsidRDefault="00261FA3" w:rsidP="009677CC">
      <w:pPr>
        <w:autoSpaceDE w:val="0"/>
        <w:jc w:val="both"/>
        <w:rPr>
          <w:bCs/>
          <w:sz w:val="22"/>
          <w:szCs w:val="22"/>
          <w:lang w:val="hr-HR"/>
        </w:rPr>
      </w:pPr>
    </w:p>
    <w:p w14:paraId="78FF8BAE" w14:textId="6B351D49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U Upravnom odjelu za samoupravu - razdjel 002  rashodi se </w:t>
      </w:r>
      <w:r w:rsidR="002E083C" w:rsidRPr="009677CC">
        <w:rPr>
          <w:bCs/>
          <w:sz w:val="22"/>
          <w:szCs w:val="22"/>
          <w:lang w:val="hr-HR"/>
        </w:rPr>
        <w:t>povećavaju</w:t>
      </w:r>
      <w:r w:rsidRPr="009677CC">
        <w:rPr>
          <w:bCs/>
          <w:sz w:val="22"/>
          <w:szCs w:val="22"/>
          <w:lang w:val="hr-HR"/>
        </w:rPr>
        <w:t xml:space="preserve"> za 2</w:t>
      </w:r>
      <w:r w:rsidR="00956DF7" w:rsidRPr="009677CC">
        <w:rPr>
          <w:bCs/>
          <w:sz w:val="22"/>
          <w:szCs w:val="22"/>
          <w:lang w:val="hr-HR"/>
        </w:rPr>
        <w:t>.116.589</w:t>
      </w:r>
      <w:r w:rsidRPr="009677CC">
        <w:rPr>
          <w:bCs/>
          <w:sz w:val="22"/>
          <w:szCs w:val="22"/>
          <w:lang w:val="hr-HR"/>
        </w:rPr>
        <w:t xml:space="preserve">,00 kn ili za </w:t>
      </w:r>
      <w:r w:rsidR="00956DF7" w:rsidRPr="009677CC">
        <w:rPr>
          <w:bCs/>
          <w:sz w:val="22"/>
          <w:szCs w:val="22"/>
          <w:lang w:val="hr-HR"/>
        </w:rPr>
        <w:t>4,70</w:t>
      </w:r>
      <w:r w:rsidRPr="009677CC">
        <w:rPr>
          <w:bCs/>
          <w:sz w:val="22"/>
          <w:szCs w:val="22"/>
          <w:lang w:val="hr-HR"/>
        </w:rPr>
        <w:t>% i sada iznose 4</w:t>
      </w:r>
      <w:r w:rsidR="00956DF7" w:rsidRPr="009677CC">
        <w:rPr>
          <w:bCs/>
          <w:sz w:val="22"/>
          <w:szCs w:val="22"/>
          <w:lang w:val="hr-HR"/>
        </w:rPr>
        <w:t>7.120.555</w:t>
      </w:r>
      <w:r w:rsidRPr="009677CC">
        <w:rPr>
          <w:bCs/>
          <w:sz w:val="22"/>
          <w:szCs w:val="22"/>
          <w:lang w:val="hr-HR"/>
        </w:rPr>
        <w:t>,00 kn</w:t>
      </w:r>
      <w:r w:rsidR="002E083C" w:rsidRPr="009677CC">
        <w:rPr>
          <w:bCs/>
          <w:sz w:val="22"/>
          <w:szCs w:val="22"/>
          <w:lang w:val="hr-HR"/>
        </w:rPr>
        <w:t>, radi usklađenja kod proračunskih korisnika raspodjele troškova između Upravnog odjela za samoupravu i Upravnog odjela za društvene djelatnosti.</w:t>
      </w:r>
      <w:r w:rsidRPr="009677CC">
        <w:rPr>
          <w:bCs/>
          <w:sz w:val="22"/>
          <w:szCs w:val="22"/>
          <w:lang w:val="hr-HR"/>
        </w:rPr>
        <w:t xml:space="preserve"> Upravni odjel za samoupravu preuzima dio rashoda od Upravnog odjela za financije koji se odnose na materijalne troškove za rad svih upravnih tijela, Gradonačelnika i Gradskog vijeća, koji nisu realizirani do sada, zadržava rashode za aktivnosti i projekte iz samoupravnog djelokruga, a rashodi za javne potrebe u kulturi, odgoju i obrazovanju, sportu, socijalnoj skrbi, turizmu i ostalih udruga i društava smanjuju se do procijenjenog iznosa izvršenja po pojedinim programima, aktivnostima i projektima i proračunskim korisnicima iz nadležnosti upravnog odjela i izvršavaju nadalje kroz Upravni odjel za društvene djelatnosti - razdjel 004.</w:t>
      </w:r>
    </w:p>
    <w:p w14:paraId="7E9E945C" w14:textId="77777777" w:rsidR="00CE1DFD" w:rsidRPr="009677CC" w:rsidRDefault="00CE1DFD" w:rsidP="00CE1DFD">
      <w:pPr>
        <w:autoSpaceDE w:val="0"/>
        <w:jc w:val="both"/>
        <w:rPr>
          <w:bCs/>
          <w:sz w:val="22"/>
          <w:szCs w:val="22"/>
          <w:lang w:val="hr-HR"/>
        </w:rPr>
      </w:pPr>
    </w:p>
    <w:p w14:paraId="24AE7AE5" w14:textId="26CCABBF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U Upravnom odjelu za društvene djelatnosti - razdjel 004 planirani su rashodi u visini </w:t>
      </w:r>
      <w:r w:rsidR="00EA38E5" w:rsidRPr="009677CC">
        <w:rPr>
          <w:bCs/>
          <w:sz w:val="22"/>
          <w:szCs w:val="22"/>
          <w:lang w:val="hr-HR"/>
        </w:rPr>
        <w:t>28.004.956</w:t>
      </w:r>
      <w:r w:rsidRPr="009677CC">
        <w:rPr>
          <w:bCs/>
          <w:sz w:val="22"/>
          <w:szCs w:val="22"/>
          <w:lang w:val="hr-HR"/>
        </w:rPr>
        <w:t xml:space="preserve">,00 kn za realizaciju programa javnih potreba u kulturi, predškolskom odgoju i školstvu, sportu, socijalnoj skrbi, turizmu i ostalih udruga i društava, u koje su uključeni programi proračunskih korisnika kojima je Grad Požega osnivač. </w:t>
      </w:r>
    </w:p>
    <w:p w14:paraId="54AD6534" w14:textId="77777777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U nastavku se daje pregled ukupnih promjena kod programa javnih potreba.</w:t>
      </w:r>
    </w:p>
    <w:p w14:paraId="4A9B9FBF" w14:textId="77777777" w:rsidR="00F60939" w:rsidRPr="009677CC" w:rsidRDefault="00F60939" w:rsidP="00F60939">
      <w:pPr>
        <w:autoSpaceDE w:val="0"/>
        <w:ind w:firstLine="720"/>
        <w:jc w:val="both"/>
        <w:rPr>
          <w:sz w:val="22"/>
          <w:szCs w:val="22"/>
          <w:lang w:val="hr-HR" w:eastAsia="en-US"/>
        </w:rPr>
      </w:pPr>
      <w:bookmarkStart w:id="1" w:name="_Hlk89932368"/>
      <w:proofErr w:type="spellStart"/>
      <w:r w:rsidRPr="009677CC">
        <w:rPr>
          <w:sz w:val="22"/>
          <w:szCs w:val="22"/>
        </w:rPr>
        <w:t>Rashodi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programa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javnih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potreba</w:t>
      </w:r>
      <w:proofErr w:type="spellEnd"/>
      <w:r w:rsidRPr="009677CC">
        <w:rPr>
          <w:sz w:val="22"/>
          <w:szCs w:val="22"/>
        </w:rPr>
        <w:t xml:space="preserve"> u </w:t>
      </w:r>
      <w:proofErr w:type="spellStart"/>
      <w:r w:rsidRPr="009677CC">
        <w:rPr>
          <w:sz w:val="22"/>
          <w:szCs w:val="22"/>
        </w:rPr>
        <w:t>kulturi</w:t>
      </w:r>
      <w:proofErr w:type="spellEnd"/>
      <w:r w:rsidRPr="009677CC">
        <w:rPr>
          <w:sz w:val="22"/>
          <w:szCs w:val="22"/>
        </w:rPr>
        <w:t xml:space="preserve"> za 2021. </w:t>
      </w:r>
      <w:proofErr w:type="spellStart"/>
      <w:r w:rsidRPr="009677CC">
        <w:rPr>
          <w:sz w:val="22"/>
          <w:szCs w:val="22"/>
        </w:rPr>
        <w:t>godinu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smanjuju</w:t>
      </w:r>
      <w:proofErr w:type="spellEnd"/>
      <w:r w:rsidRPr="009677CC">
        <w:rPr>
          <w:sz w:val="22"/>
          <w:szCs w:val="22"/>
        </w:rPr>
        <w:t xml:space="preserve"> se za 61.470,00 </w:t>
      </w:r>
      <w:proofErr w:type="spellStart"/>
      <w:r w:rsidRPr="009677CC">
        <w:rPr>
          <w:sz w:val="22"/>
          <w:szCs w:val="22"/>
        </w:rPr>
        <w:t>kn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ili</w:t>
      </w:r>
      <w:proofErr w:type="spellEnd"/>
      <w:r w:rsidRPr="009677CC">
        <w:rPr>
          <w:sz w:val="22"/>
          <w:szCs w:val="22"/>
        </w:rPr>
        <w:t xml:space="preserve"> za 0,65%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sada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iznose</w:t>
      </w:r>
      <w:proofErr w:type="spellEnd"/>
      <w:r w:rsidRPr="009677CC">
        <w:rPr>
          <w:sz w:val="22"/>
          <w:szCs w:val="22"/>
        </w:rPr>
        <w:t xml:space="preserve"> 10.144.189,00 kn. </w:t>
      </w:r>
      <w:proofErr w:type="spellStart"/>
      <w:r w:rsidRPr="009677CC">
        <w:rPr>
          <w:sz w:val="22"/>
          <w:szCs w:val="22"/>
        </w:rPr>
        <w:t>Najznačajnije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promjene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su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slijedeće</w:t>
      </w:r>
      <w:proofErr w:type="spellEnd"/>
      <w:r w:rsidRPr="009677CC">
        <w:rPr>
          <w:sz w:val="22"/>
          <w:szCs w:val="22"/>
        </w:rPr>
        <w:t>:</w:t>
      </w:r>
    </w:p>
    <w:p w14:paraId="4F4C497D" w14:textId="77777777" w:rsidR="00F60939" w:rsidRPr="009677CC" w:rsidRDefault="00F60939" w:rsidP="00F60939">
      <w:pPr>
        <w:autoSpaceDE w:val="0"/>
        <w:ind w:firstLine="720"/>
        <w:jc w:val="both"/>
        <w:rPr>
          <w:sz w:val="22"/>
          <w:szCs w:val="22"/>
        </w:rPr>
      </w:pPr>
      <w:r w:rsidRPr="009677CC">
        <w:rPr>
          <w:sz w:val="22"/>
          <w:szCs w:val="22"/>
        </w:rPr>
        <w:lastRenderedPageBreak/>
        <w:t>-</w:t>
      </w:r>
      <w:proofErr w:type="spellStart"/>
      <w:r w:rsidRPr="009677CC">
        <w:rPr>
          <w:sz w:val="22"/>
          <w:szCs w:val="22"/>
        </w:rPr>
        <w:t>rashodi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programa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Udruge</w:t>
      </w:r>
      <w:proofErr w:type="spellEnd"/>
      <w:r w:rsidRPr="009677CC">
        <w:rPr>
          <w:sz w:val="22"/>
          <w:szCs w:val="22"/>
        </w:rPr>
        <w:t xml:space="preserve"> u </w:t>
      </w:r>
      <w:proofErr w:type="spellStart"/>
      <w:r w:rsidRPr="009677CC">
        <w:rPr>
          <w:sz w:val="22"/>
          <w:szCs w:val="22"/>
        </w:rPr>
        <w:t>kulturi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ostala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kulturna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događanja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smanjuju</w:t>
      </w:r>
      <w:proofErr w:type="spellEnd"/>
      <w:r w:rsidRPr="009677CC">
        <w:rPr>
          <w:sz w:val="22"/>
          <w:szCs w:val="22"/>
        </w:rPr>
        <w:t xml:space="preserve"> se za 65.000,00 </w:t>
      </w:r>
      <w:proofErr w:type="spellStart"/>
      <w:r w:rsidRPr="009677CC">
        <w:rPr>
          <w:sz w:val="22"/>
          <w:szCs w:val="22"/>
        </w:rPr>
        <w:t>kn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sada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iznose</w:t>
      </w:r>
      <w:proofErr w:type="spellEnd"/>
      <w:r w:rsidRPr="009677CC">
        <w:rPr>
          <w:sz w:val="22"/>
          <w:szCs w:val="22"/>
        </w:rPr>
        <w:t xml:space="preserve"> 998.200,00 </w:t>
      </w:r>
      <w:proofErr w:type="spellStart"/>
      <w:r w:rsidRPr="009677CC">
        <w:rPr>
          <w:sz w:val="22"/>
          <w:szCs w:val="22"/>
        </w:rPr>
        <w:t>kn</w:t>
      </w:r>
      <w:proofErr w:type="spellEnd"/>
      <w:r w:rsidRPr="009677CC">
        <w:rPr>
          <w:sz w:val="22"/>
          <w:szCs w:val="22"/>
        </w:rPr>
        <w:t xml:space="preserve">, </w:t>
      </w:r>
      <w:proofErr w:type="spellStart"/>
      <w:r w:rsidRPr="009677CC">
        <w:rPr>
          <w:sz w:val="22"/>
          <w:szCs w:val="22"/>
        </w:rPr>
        <w:t>radi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smanjenja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rashoda</w:t>
      </w:r>
      <w:proofErr w:type="spellEnd"/>
      <w:r w:rsidRPr="009677CC">
        <w:rPr>
          <w:sz w:val="22"/>
          <w:szCs w:val="22"/>
        </w:rPr>
        <w:t xml:space="preserve"> za </w:t>
      </w:r>
      <w:proofErr w:type="spellStart"/>
      <w:r w:rsidRPr="009677CC">
        <w:rPr>
          <w:sz w:val="22"/>
          <w:szCs w:val="22"/>
        </w:rPr>
        <w:t>aktivnost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Donacije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udrugama</w:t>
      </w:r>
      <w:proofErr w:type="spellEnd"/>
      <w:r w:rsidRPr="009677CC">
        <w:rPr>
          <w:sz w:val="22"/>
          <w:szCs w:val="22"/>
        </w:rPr>
        <w:t xml:space="preserve"> u </w:t>
      </w:r>
      <w:proofErr w:type="spellStart"/>
      <w:r w:rsidRPr="009677CC">
        <w:rPr>
          <w:sz w:val="22"/>
          <w:szCs w:val="22"/>
        </w:rPr>
        <w:t>kulturi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Ostala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kulturna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događanja</w:t>
      </w:r>
      <w:proofErr w:type="spellEnd"/>
      <w:r w:rsidRPr="009677CC">
        <w:rPr>
          <w:sz w:val="22"/>
          <w:szCs w:val="22"/>
        </w:rPr>
        <w:t xml:space="preserve"> </w:t>
      </w:r>
    </w:p>
    <w:p w14:paraId="3CAC17DA" w14:textId="6C099F90" w:rsidR="00F60939" w:rsidRPr="009677CC" w:rsidRDefault="00F60939" w:rsidP="00F60939">
      <w:pPr>
        <w:autoSpaceDE w:val="0"/>
        <w:ind w:firstLine="720"/>
        <w:jc w:val="both"/>
        <w:rPr>
          <w:sz w:val="22"/>
          <w:szCs w:val="22"/>
        </w:rPr>
      </w:pPr>
      <w:r w:rsidRPr="009677CC">
        <w:rPr>
          <w:sz w:val="22"/>
          <w:szCs w:val="22"/>
        </w:rPr>
        <w:t>-</w:t>
      </w:r>
      <w:proofErr w:type="spellStart"/>
      <w:r w:rsidRPr="009677CC">
        <w:rPr>
          <w:sz w:val="22"/>
          <w:szCs w:val="22"/>
        </w:rPr>
        <w:t>rashodi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proračunskog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korisnika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Gradska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knjižnica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čitaonica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povećavaju</w:t>
      </w:r>
      <w:proofErr w:type="spellEnd"/>
      <w:r w:rsidRPr="009677CC">
        <w:rPr>
          <w:sz w:val="22"/>
          <w:szCs w:val="22"/>
        </w:rPr>
        <w:t xml:space="preserve"> se za 3.530,00 </w:t>
      </w:r>
      <w:proofErr w:type="spellStart"/>
      <w:r w:rsidRPr="009677CC">
        <w:rPr>
          <w:sz w:val="22"/>
          <w:szCs w:val="22"/>
        </w:rPr>
        <w:t>kn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sada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iznose</w:t>
      </w:r>
      <w:proofErr w:type="spellEnd"/>
      <w:r w:rsidRPr="009677CC">
        <w:rPr>
          <w:sz w:val="22"/>
          <w:szCs w:val="22"/>
        </w:rPr>
        <w:t xml:space="preserve"> 4.446.584,00 kn. </w:t>
      </w:r>
      <w:proofErr w:type="spellStart"/>
      <w:r w:rsidRPr="009677CC">
        <w:rPr>
          <w:sz w:val="22"/>
          <w:szCs w:val="22"/>
        </w:rPr>
        <w:t>Povećanje</w:t>
      </w:r>
      <w:proofErr w:type="spellEnd"/>
      <w:r w:rsidRPr="009677CC">
        <w:rPr>
          <w:sz w:val="22"/>
          <w:szCs w:val="22"/>
        </w:rPr>
        <w:t xml:space="preserve"> se </w:t>
      </w:r>
      <w:proofErr w:type="spellStart"/>
      <w:r w:rsidRPr="009677CC">
        <w:rPr>
          <w:sz w:val="22"/>
          <w:szCs w:val="22"/>
        </w:rPr>
        <w:t>odnosi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na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materijalne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rashode</w:t>
      </w:r>
      <w:proofErr w:type="spellEnd"/>
      <w:r w:rsidRPr="009677CC">
        <w:rPr>
          <w:sz w:val="22"/>
          <w:szCs w:val="22"/>
        </w:rPr>
        <w:t xml:space="preserve"> za </w:t>
      </w:r>
      <w:proofErr w:type="spellStart"/>
      <w:r w:rsidRPr="009677CC">
        <w:rPr>
          <w:sz w:val="22"/>
          <w:szCs w:val="22"/>
        </w:rPr>
        <w:t>laboratorijske</w:t>
      </w:r>
      <w:proofErr w:type="spellEnd"/>
      <w:r w:rsidRPr="009677CC">
        <w:rPr>
          <w:sz w:val="22"/>
          <w:szCs w:val="22"/>
        </w:rPr>
        <w:t xml:space="preserve"> </w:t>
      </w:r>
      <w:proofErr w:type="spellStart"/>
      <w:r w:rsidRPr="009677CC">
        <w:rPr>
          <w:sz w:val="22"/>
          <w:szCs w:val="22"/>
        </w:rPr>
        <w:t>usluge</w:t>
      </w:r>
      <w:proofErr w:type="spellEnd"/>
      <w:r w:rsidRPr="009677CC">
        <w:rPr>
          <w:sz w:val="22"/>
          <w:szCs w:val="22"/>
        </w:rPr>
        <w:t>.</w:t>
      </w:r>
    </w:p>
    <w:p w14:paraId="483B5438" w14:textId="77777777" w:rsidR="00EE2971" w:rsidRPr="009677CC" w:rsidRDefault="00EE2971" w:rsidP="009677CC">
      <w:pPr>
        <w:autoSpaceDE w:val="0"/>
        <w:jc w:val="both"/>
        <w:rPr>
          <w:sz w:val="22"/>
          <w:szCs w:val="22"/>
        </w:rPr>
      </w:pPr>
    </w:p>
    <w:p w14:paraId="57BC0CE9" w14:textId="20D8F944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javnih potreba u predškolskom odgoju i školstvu </w:t>
      </w:r>
      <w:r w:rsidR="009D008A" w:rsidRPr="009677CC">
        <w:rPr>
          <w:bCs/>
          <w:sz w:val="22"/>
          <w:szCs w:val="22"/>
          <w:lang w:val="hr-HR"/>
        </w:rPr>
        <w:t xml:space="preserve"> smanjuju se za 44.505,00</w:t>
      </w:r>
      <w:r w:rsidR="00B802C0" w:rsidRPr="009677CC">
        <w:rPr>
          <w:bCs/>
          <w:sz w:val="22"/>
          <w:szCs w:val="22"/>
          <w:lang w:val="hr-HR"/>
        </w:rPr>
        <w:t xml:space="preserve"> kn ili za 0,09 %</w:t>
      </w:r>
      <w:r w:rsidR="009D008A" w:rsidRPr="009677CC">
        <w:rPr>
          <w:bCs/>
          <w:sz w:val="22"/>
          <w:szCs w:val="22"/>
          <w:lang w:val="hr-HR"/>
        </w:rPr>
        <w:t xml:space="preserve"> </w:t>
      </w:r>
      <w:r w:rsidR="00B802C0" w:rsidRPr="009677CC">
        <w:rPr>
          <w:bCs/>
          <w:sz w:val="22"/>
          <w:szCs w:val="22"/>
          <w:lang w:val="hr-HR"/>
        </w:rPr>
        <w:t xml:space="preserve"> </w:t>
      </w:r>
      <w:r w:rsidRPr="009677CC">
        <w:rPr>
          <w:bCs/>
          <w:sz w:val="22"/>
          <w:szCs w:val="22"/>
          <w:lang w:val="hr-HR"/>
        </w:rPr>
        <w:t>i sada iznose 50.</w:t>
      </w:r>
      <w:r w:rsidR="009D008A" w:rsidRPr="009677CC">
        <w:rPr>
          <w:bCs/>
          <w:sz w:val="22"/>
          <w:szCs w:val="22"/>
          <w:lang w:val="hr-HR"/>
        </w:rPr>
        <w:t>391.887</w:t>
      </w:r>
      <w:r w:rsidRPr="009677CC">
        <w:rPr>
          <w:bCs/>
          <w:sz w:val="22"/>
          <w:szCs w:val="22"/>
          <w:lang w:val="hr-HR"/>
        </w:rPr>
        <w:t>,00 kn. Najznačajnije promjene su slijedeće:</w:t>
      </w:r>
    </w:p>
    <w:p w14:paraId="08719B2B" w14:textId="3C770753" w:rsidR="00CE1DFD" w:rsidRPr="009677CC" w:rsidRDefault="00CE1DFD" w:rsidP="00FB2A8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-rashodi programa </w:t>
      </w:r>
      <w:r w:rsidR="00FB2A88" w:rsidRPr="009677CC">
        <w:rPr>
          <w:bCs/>
          <w:sz w:val="22"/>
          <w:szCs w:val="22"/>
          <w:lang w:val="hr-HR"/>
        </w:rPr>
        <w:t>Donacije dječjim vrtićima se smanjuju za 35.200,00 kn i sada iznose 1.801.800,00 kn,</w:t>
      </w:r>
    </w:p>
    <w:p w14:paraId="095A7AB2" w14:textId="797B0BB6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-rashodi proračunskog korisnika Dječji vrtić Požega </w:t>
      </w:r>
      <w:r w:rsidR="00FB2A88" w:rsidRPr="009677CC">
        <w:rPr>
          <w:bCs/>
          <w:sz w:val="22"/>
          <w:szCs w:val="22"/>
          <w:lang w:val="hr-HR"/>
        </w:rPr>
        <w:t xml:space="preserve">smanjeni </w:t>
      </w:r>
      <w:r w:rsidRPr="009677CC">
        <w:rPr>
          <w:bCs/>
          <w:sz w:val="22"/>
          <w:szCs w:val="22"/>
          <w:lang w:val="hr-HR"/>
        </w:rPr>
        <w:t xml:space="preserve"> su za </w:t>
      </w:r>
      <w:r w:rsidR="00FB2A88" w:rsidRPr="009677CC">
        <w:rPr>
          <w:bCs/>
          <w:sz w:val="22"/>
          <w:szCs w:val="22"/>
          <w:lang w:val="hr-HR"/>
        </w:rPr>
        <w:t>255.200</w:t>
      </w:r>
      <w:r w:rsidRPr="009677CC">
        <w:rPr>
          <w:bCs/>
          <w:sz w:val="22"/>
          <w:szCs w:val="22"/>
          <w:lang w:val="hr-HR"/>
        </w:rPr>
        <w:t xml:space="preserve">,00 kn i sada iznose </w:t>
      </w:r>
      <w:r w:rsidR="00FB2A88" w:rsidRPr="009677CC">
        <w:rPr>
          <w:bCs/>
          <w:sz w:val="22"/>
          <w:szCs w:val="22"/>
          <w:lang w:val="hr-HR"/>
        </w:rPr>
        <w:t>8.765.034</w:t>
      </w:r>
      <w:r w:rsidRPr="009677CC">
        <w:rPr>
          <w:bCs/>
          <w:sz w:val="22"/>
          <w:szCs w:val="22"/>
          <w:lang w:val="hr-HR"/>
        </w:rPr>
        <w:t xml:space="preserve">,00 kn. </w:t>
      </w:r>
      <w:r w:rsidR="00FB2A88" w:rsidRPr="009677CC">
        <w:rPr>
          <w:bCs/>
          <w:sz w:val="22"/>
          <w:szCs w:val="22"/>
          <w:lang w:val="hr-HR"/>
        </w:rPr>
        <w:t xml:space="preserve">Smanjenje se odnosi na projekt Požeški </w:t>
      </w:r>
      <w:proofErr w:type="spellStart"/>
      <w:r w:rsidR="00FB2A88" w:rsidRPr="009677CC">
        <w:rPr>
          <w:bCs/>
          <w:sz w:val="22"/>
          <w:szCs w:val="22"/>
          <w:lang w:val="hr-HR"/>
        </w:rPr>
        <w:t>limači</w:t>
      </w:r>
      <w:proofErr w:type="spellEnd"/>
      <w:r w:rsidR="00FB2A88" w:rsidRPr="009677CC">
        <w:rPr>
          <w:bCs/>
          <w:sz w:val="22"/>
          <w:szCs w:val="22"/>
          <w:lang w:val="hr-HR"/>
        </w:rPr>
        <w:t>.</w:t>
      </w:r>
    </w:p>
    <w:p w14:paraId="6F21A95F" w14:textId="77ED8BF4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-rashodi proračunskih korisnika osnovnih škola Grada Požege povećani su za </w:t>
      </w:r>
      <w:r w:rsidR="00FB2A88" w:rsidRPr="009677CC">
        <w:rPr>
          <w:bCs/>
          <w:sz w:val="22"/>
          <w:szCs w:val="22"/>
          <w:lang w:val="hr-HR"/>
        </w:rPr>
        <w:t>245.895</w:t>
      </w:r>
      <w:r w:rsidRPr="009677CC">
        <w:rPr>
          <w:bCs/>
          <w:sz w:val="22"/>
          <w:szCs w:val="22"/>
          <w:lang w:val="hr-HR"/>
        </w:rPr>
        <w:t xml:space="preserve">,00 kn i sada iznose </w:t>
      </w:r>
      <w:r w:rsidR="00756FF9" w:rsidRPr="009677CC">
        <w:rPr>
          <w:bCs/>
          <w:sz w:val="22"/>
          <w:szCs w:val="22"/>
          <w:lang w:val="hr-HR"/>
        </w:rPr>
        <w:t>38.</w:t>
      </w:r>
      <w:r w:rsidR="00955FE4" w:rsidRPr="009677CC">
        <w:rPr>
          <w:bCs/>
          <w:sz w:val="22"/>
          <w:szCs w:val="22"/>
          <w:lang w:val="hr-HR"/>
        </w:rPr>
        <w:t>474.053</w:t>
      </w:r>
      <w:r w:rsidRPr="009677CC">
        <w:rPr>
          <w:bCs/>
          <w:sz w:val="22"/>
          <w:szCs w:val="22"/>
          <w:lang w:val="hr-HR"/>
        </w:rPr>
        <w:t xml:space="preserve">,00 kn. Povećanje se u značajnijem iznosu odnosi na povećanje </w:t>
      </w:r>
      <w:r w:rsidR="00955FE4" w:rsidRPr="009677CC">
        <w:rPr>
          <w:bCs/>
          <w:sz w:val="22"/>
          <w:szCs w:val="22"/>
          <w:lang w:val="hr-HR"/>
        </w:rPr>
        <w:t xml:space="preserve">materijalnih </w:t>
      </w:r>
      <w:r w:rsidRPr="009677CC">
        <w:rPr>
          <w:bCs/>
          <w:sz w:val="22"/>
          <w:szCs w:val="22"/>
          <w:lang w:val="hr-HR"/>
        </w:rPr>
        <w:t>rashoda,</w:t>
      </w:r>
      <w:r w:rsidR="00247A1F" w:rsidRPr="009677CC">
        <w:rPr>
          <w:bCs/>
          <w:sz w:val="22"/>
          <w:szCs w:val="22"/>
          <w:lang w:val="hr-HR"/>
        </w:rPr>
        <w:t xml:space="preserve"> smanjenje</w:t>
      </w:r>
      <w:r w:rsidRPr="009677CC">
        <w:rPr>
          <w:bCs/>
          <w:sz w:val="22"/>
          <w:szCs w:val="22"/>
          <w:lang w:val="hr-HR"/>
        </w:rPr>
        <w:t xml:space="preserve"> troškova prijevoza učenika</w:t>
      </w:r>
      <w:r w:rsidR="00247A1F" w:rsidRPr="009677CC">
        <w:rPr>
          <w:bCs/>
          <w:sz w:val="22"/>
          <w:szCs w:val="22"/>
          <w:lang w:val="hr-HR"/>
        </w:rPr>
        <w:t>.</w:t>
      </w:r>
    </w:p>
    <w:p w14:paraId="65E4041C" w14:textId="77777777" w:rsidR="00EE2971" w:rsidRPr="009677CC" w:rsidRDefault="00EE2971" w:rsidP="009677CC">
      <w:pPr>
        <w:autoSpaceDE w:val="0"/>
        <w:jc w:val="both"/>
        <w:rPr>
          <w:bCs/>
          <w:sz w:val="22"/>
          <w:szCs w:val="22"/>
          <w:lang w:val="hr-HR"/>
        </w:rPr>
      </w:pPr>
    </w:p>
    <w:bookmarkEnd w:id="1"/>
    <w:p w14:paraId="796B8FE1" w14:textId="72B86411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javnih potreba u sportu </w:t>
      </w:r>
      <w:r w:rsidR="00852377" w:rsidRPr="009677CC">
        <w:rPr>
          <w:bCs/>
          <w:sz w:val="22"/>
          <w:szCs w:val="22"/>
          <w:lang w:val="hr-HR"/>
        </w:rPr>
        <w:t xml:space="preserve">povećavaju se za </w:t>
      </w:r>
      <w:r w:rsidR="002C640C" w:rsidRPr="009677CC">
        <w:rPr>
          <w:bCs/>
          <w:sz w:val="22"/>
          <w:szCs w:val="22"/>
          <w:lang w:val="hr-HR"/>
        </w:rPr>
        <w:t>87.500</w:t>
      </w:r>
      <w:r w:rsidRPr="009677CC">
        <w:rPr>
          <w:bCs/>
          <w:sz w:val="22"/>
          <w:szCs w:val="22"/>
          <w:lang w:val="hr-HR"/>
        </w:rPr>
        <w:t>,00 kn</w:t>
      </w:r>
      <w:r w:rsidR="00852377" w:rsidRPr="009677CC">
        <w:rPr>
          <w:bCs/>
          <w:sz w:val="22"/>
          <w:szCs w:val="22"/>
          <w:lang w:val="hr-HR"/>
        </w:rPr>
        <w:t xml:space="preserve"> ili za </w:t>
      </w:r>
      <w:r w:rsidR="002C640C" w:rsidRPr="009677CC">
        <w:rPr>
          <w:bCs/>
          <w:sz w:val="22"/>
          <w:szCs w:val="22"/>
          <w:lang w:val="hr-HR"/>
        </w:rPr>
        <w:t>1,09</w:t>
      </w:r>
      <w:r w:rsidR="00852377" w:rsidRPr="009677CC">
        <w:rPr>
          <w:bCs/>
          <w:sz w:val="22"/>
          <w:szCs w:val="22"/>
          <w:lang w:val="hr-HR"/>
        </w:rPr>
        <w:t xml:space="preserve"> % te iznose 8.110.500,00 kn.</w:t>
      </w:r>
      <w:r w:rsidR="0024635D" w:rsidRPr="009677CC">
        <w:rPr>
          <w:bCs/>
          <w:sz w:val="22"/>
          <w:szCs w:val="22"/>
          <w:lang w:val="hr-HR"/>
        </w:rPr>
        <w:t xml:space="preserve"> Promjene se odnose na sljedeće:</w:t>
      </w:r>
    </w:p>
    <w:p w14:paraId="2E7B9A02" w14:textId="7F7420BB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</w:rPr>
        <w:t>-</w:t>
      </w:r>
      <w:r w:rsidRPr="009677CC">
        <w:rPr>
          <w:bCs/>
          <w:sz w:val="22"/>
          <w:szCs w:val="22"/>
          <w:lang w:val="hr-HR"/>
        </w:rPr>
        <w:t xml:space="preserve">rashodi programa Sportske aktivnosti povećavaju se za </w:t>
      </w:r>
      <w:r w:rsidR="00F60939" w:rsidRPr="009677CC">
        <w:rPr>
          <w:bCs/>
          <w:sz w:val="22"/>
          <w:szCs w:val="22"/>
          <w:lang w:val="hr-HR"/>
        </w:rPr>
        <w:t>86</w:t>
      </w:r>
      <w:r w:rsidRPr="009677CC">
        <w:rPr>
          <w:bCs/>
          <w:sz w:val="22"/>
          <w:szCs w:val="22"/>
          <w:lang w:val="hr-HR"/>
        </w:rPr>
        <w:t>.000,00 kn</w:t>
      </w:r>
      <w:r w:rsidR="00F60939" w:rsidRPr="009677CC">
        <w:rPr>
          <w:bCs/>
          <w:sz w:val="22"/>
          <w:szCs w:val="22"/>
          <w:lang w:val="hr-HR"/>
        </w:rPr>
        <w:t xml:space="preserve"> kroz aktivnost Donacije za redovnu djelatnost u športu i Donacije za rad športskih udruga,</w:t>
      </w:r>
    </w:p>
    <w:p w14:paraId="56D00E86" w14:textId="7F52DE17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-rashodi programa Sportske</w:t>
      </w:r>
      <w:r w:rsidR="00F60939" w:rsidRPr="009677CC">
        <w:rPr>
          <w:bCs/>
          <w:sz w:val="22"/>
          <w:szCs w:val="22"/>
          <w:lang w:val="hr-HR"/>
        </w:rPr>
        <w:t xml:space="preserve"> priredbe i</w:t>
      </w:r>
      <w:r w:rsidRPr="009677CC">
        <w:rPr>
          <w:bCs/>
          <w:sz w:val="22"/>
          <w:szCs w:val="22"/>
          <w:lang w:val="hr-HR"/>
        </w:rPr>
        <w:t xml:space="preserve"> manifestacije </w:t>
      </w:r>
      <w:r w:rsidR="00F60939" w:rsidRPr="009677CC">
        <w:rPr>
          <w:bCs/>
          <w:sz w:val="22"/>
          <w:szCs w:val="22"/>
          <w:lang w:val="hr-HR"/>
        </w:rPr>
        <w:t>povećavaju</w:t>
      </w:r>
      <w:r w:rsidRPr="009677CC">
        <w:rPr>
          <w:bCs/>
          <w:sz w:val="22"/>
          <w:szCs w:val="22"/>
          <w:lang w:val="hr-HR"/>
        </w:rPr>
        <w:t xml:space="preserve"> se za </w:t>
      </w:r>
      <w:r w:rsidR="00F60939" w:rsidRPr="009677CC">
        <w:rPr>
          <w:bCs/>
          <w:sz w:val="22"/>
          <w:szCs w:val="22"/>
          <w:lang w:val="hr-HR"/>
        </w:rPr>
        <w:t>1.5</w:t>
      </w:r>
      <w:r w:rsidRPr="009677CC">
        <w:rPr>
          <w:bCs/>
          <w:sz w:val="22"/>
          <w:szCs w:val="22"/>
          <w:lang w:val="hr-HR"/>
        </w:rPr>
        <w:t>00,00 kn</w:t>
      </w:r>
      <w:r w:rsidR="00CF68D7" w:rsidRPr="009677CC">
        <w:rPr>
          <w:bCs/>
          <w:sz w:val="22"/>
          <w:szCs w:val="22"/>
          <w:lang w:val="hr-HR"/>
        </w:rPr>
        <w:t>.</w:t>
      </w:r>
      <w:r w:rsidRPr="009677CC">
        <w:rPr>
          <w:bCs/>
          <w:sz w:val="22"/>
          <w:szCs w:val="22"/>
          <w:lang w:val="hr-HR"/>
        </w:rPr>
        <w:t xml:space="preserve"> </w:t>
      </w:r>
    </w:p>
    <w:p w14:paraId="291F0873" w14:textId="77777777" w:rsidR="00EE2971" w:rsidRPr="009677CC" w:rsidRDefault="00EE2971" w:rsidP="009677CC">
      <w:pPr>
        <w:autoSpaceDE w:val="0"/>
        <w:jc w:val="both"/>
        <w:rPr>
          <w:bCs/>
          <w:sz w:val="22"/>
          <w:szCs w:val="22"/>
          <w:lang w:val="hr-HR"/>
        </w:rPr>
      </w:pPr>
    </w:p>
    <w:p w14:paraId="11AE7660" w14:textId="5E7B5458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javnih potreba u socijalnoj skrbi  </w:t>
      </w:r>
      <w:r w:rsidR="001C441B" w:rsidRPr="009677CC">
        <w:rPr>
          <w:bCs/>
          <w:sz w:val="22"/>
          <w:szCs w:val="22"/>
          <w:lang w:val="hr-HR"/>
        </w:rPr>
        <w:t xml:space="preserve">se smanjuju za </w:t>
      </w:r>
      <w:r w:rsidR="0041288A" w:rsidRPr="009677CC">
        <w:rPr>
          <w:bCs/>
          <w:sz w:val="22"/>
          <w:szCs w:val="22"/>
          <w:lang w:val="hr-HR"/>
        </w:rPr>
        <w:t>1.910,00 kn ili za 0,05%</w:t>
      </w:r>
      <w:r w:rsidRPr="009677CC">
        <w:rPr>
          <w:bCs/>
          <w:sz w:val="22"/>
          <w:szCs w:val="22"/>
          <w:lang w:val="hr-HR"/>
        </w:rPr>
        <w:t xml:space="preserve"> i sada iznose 3</w:t>
      </w:r>
      <w:r w:rsidR="0041288A" w:rsidRPr="009677CC">
        <w:rPr>
          <w:bCs/>
          <w:sz w:val="22"/>
          <w:szCs w:val="22"/>
          <w:lang w:val="hr-HR"/>
        </w:rPr>
        <w:t>.822.690</w:t>
      </w:r>
      <w:r w:rsidRPr="009677CC">
        <w:rPr>
          <w:bCs/>
          <w:sz w:val="22"/>
          <w:szCs w:val="22"/>
          <w:lang w:val="hr-HR"/>
        </w:rPr>
        <w:t>,00 kn. Promjene se odnose na slijedeće:</w:t>
      </w:r>
    </w:p>
    <w:p w14:paraId="6D000342" w14:textId="6D342E4F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-smanjenje kod aktivnosti </w:t>
      </w:r>
      <w:r w:rsidR="0041288A" w:rsidRPr="009677CC">
        <w:rPr>
          <w:bCs/>
          <w:sz w:val="22"/>
          <w:szCs w:val="22"/>
          <w:lang w:val="hr-HR"/>
        </w:rPr>
        <w:t>Režijski troškovi</w:t>
      </w:r>
      <w:r w:rsidRPr="009677CC">
        <w:rPr>
          <w:bCs/>
          <w:sz w:val="22"/>
          <w:szCs w:val="22"/>
          <w:lang w:val="hr-HR"/>
        </w:rPr>
        <w:t xml:space="preserve"> za </w:t>
      </w:r>
      <w:r w:rsidR="0041288A" w:rsidRPr="009677CC">
        <w:rPr>
          <w:bCs/>
          <w:sz w:val="22"/>
          <w:szCs w:val="22"/>
          <w:lang w:val="hr-HR"/>
        </w:rPr>
        <w:t>180</w:t>
      </w:r>
      <w:r w:rsidRPr="009677CC">
        <w:rPr>
          <w:bCs/>
          <w:sz w:val="22"/>
          <w:szCs w:val="22"/>
          <w:lang w:val="hr-HR"/>
        </w:rPr>
        <w:t xml:space="preserve">.000,00 kn </w:t>
      </w:r>
      <w:r w:rsidR="0041288A" w:rsidRPr="009677CC">
        <w:rPr>
          <w:bCs/>
          <w:sz w:val="22"/>
          <w:szCs w:val="22"/>
          <w:lang w:val="hr-HR"/>
        </w:rPr>
        <w:t>a odnosi se na pravo na pomoć za podmirenje troškova najamnine, električne energije, komunalnih usluga</w:t>
      </w:r>
      <w:r w:rsidR="00E66FDA" w:rsidRPr="009677CC">
        <w:rPr>
          <w:bCs/>
          <w:sz w:val="22"/>
          <w:szCs w:val="22"/>
          <w:lang w:val="hr-HR"/>
        </w:rPr>
        <w:t>,</w:t>
      </w:r>
    </w:p>
    <w:p w14:paraId="05E17D78" w14:textId="6AAEEB4F" w:rsidR="00E66FDA" w:rsidRPr="009677CC" w:rsidRDefault="00E66FDA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-smanjenje kod aktivnosti Obitelj i djeca za 29.910,00 kn,</w:t>
      </w:r>
    </w:p>
    <w:p w14:paraId="3489F8A2" w14:textId="2693F36E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E66FDA" w:rsidRPr="009677CC">
        <w:rPr>
          <w:bCs/>
          <w:sz w:val="22"/>
          <w:szCs w:val="22"/>
          <w:lang w:val="hr-HR"/>
        </w:rPr>
        <w:t>povećanje</w:t>
      </w:r>
      <w:r w:rsidRPr="009677CC">
        <w:rPr>
          <w:bCs/>
          <w:sz w:val="22"/>
          <w:szCs w:val="22"/>
          <w:lang w:val="hr-HR"/>
        </w:rPr>
        <w:t xml:space="preserve"> kod aktivnosti Pomoć starijim osobama za 2</w:t>
      </w:r>
      <w:r w:rsidR="00E66FDA" w:rsidRPr="009677CC">
        <w:rPr>
          <w:bCs/>
          <w:sz w:val="22"/>
          <w:szCs w:val="22"/>
          <w:lang w:val="hr-HR"/>
        </w:rPr>
        <w:t>08</w:t>
      </w:r>
      <w:r w:rsidRPr="009677CC">
        <w:rPr>
          <w:bCs/>
          <w:sz w:val="22"/>
          <w:szCs w:val="22"/>
          <w:lang w:val="hr-HR"/>
        </w:rPr>
        <w:t xml:space="preserve">.000,00 kn </w:t>
      </w:r>
      <w:r w:rsidR="00E66FDA" w:rsidRPr="009677CC">
        <w:rPr>
          <w:bCs/>
          <w:sz w:val="22"/>
          <w:szCs w:val="22"/>
          <w:lang w:val="hr-HR"/>
        </w:rPr>
        <w:t>promjena se odnosi na povećanje zbog isplate božićnice umirovljenicima i Nitko ne smije biti sam</w:t>
      </w:r>
      <w:r w:rsidR="00B674E3" w:rsidRPr="009677CC">
        <w:rPr>
          <w:bCs/>
          <w:sz w:val="22"/>
          <w:szCs w:val="22"/>
          <w:lang w:val="hr-HR"/>
        </w:rPr>
        <w:t xml:space="preserve"> druženje osoba starijih od 70 godina bez bračnog druga povodom Božićnih blagdana.</w:t>
      </w:r>
    </w:p>
    <w:p w14:paraId="14EE79A9" w14:textId="77777777" w:rsidR="00EE2971" w:rsidRPr="009677CC" w:rsidRDefault="00EE2971" w:rsidP="009677CC">
      <w:pPr>
        <w:autoSpaceDE w:val="0"/>
        <w:jc w:val="both"/>
        <w:rPr>
          <w:bCs/>
          <w:sz w:val="22"/>
          <w:szCs w:val="22"/>
          <w:lang w:val="hr-HR"/>
        </w:rPr>
      </w:pPr>
    </w:p>
    <w:p w14:paraId="2C1429DB" w14:textId="74AD0865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javnih potreba u turizmu, ostalih udruga i društva i proračunskog korisnika Vijeća srpske nacionalne manjine u 2021. godini </w:t>
      </w:r>
      <w:r w:rsidR="00A461C9" w:rsidRPr="009677CC">
        <w:rPr>
          <w:bCs/>
          <w:sz w:val="22"/>
          <w:szCs w:val="22"/>
          <w:lang w:val="hr-HR"/>
        </w:rPr>
        <w:t>o</w:t>
      </w:r>
      <w:r w:rsidRPr="009677CC">
        <w:rPr>
          <w:bCs/>
          <w:sz w:val="22"/>
          <w:szCs w:val="22"/>
          <w:lang w:val="hr-HR"/>
        </w:rPr>
        <w:t xml:space="preserve">vim rebalansom smanjuju se za </w:t>
      </w:r>
      <w:r w:rsidR="00A461C9" w:rsidRPr="009677CC">
        <w:rPr>
          <w:bCs/>
          <w:sz w:val="22"/>
          <w:szCs w:val="22"/>
          <w:lang w:val="hr-HR"/>
        </w:rPr>
        <w:t xml:space="preserve">50.400,00 </w:t>
      </w:r>
      <w:r w:rsidRPr="009677CC">
        <w:rPr>
          <w:bCs/>
          <w:sz w:val="22"/>
          <w:szCs w:val="22"/>
          <w:lang w:val="hr-HR"/>
        </w:rPr>
        <w:t xml:space="preserve">kn ili za </w:t>
      </w:r>
      <w:r w:rsidR="00A461C9" w:rsidRPr="009677CC">
        <w:rPr>
          <w:bCs/>
          <w:sz w:val="22"/>
          <w:szCs w:val="22"/>
          <w:lang w:val="hr-HR"/>
        </w:rPr>
        <w:t xml:space="preserve">3,90 </w:t>
      </w:r>
      <w:r w:rsidRPr="009677CC">
        <w:rPr>
          <w:bCs/>
          <w:sz w:val="22"/>
          <w:szCs w:val="22"/>
          <w:lang w:val="hr-HR"/>
        </w:rPr>
        <w:t>% i sada iznose 1.</w:t>
      </w:r>
      <w:r w:rsidR="00A461C9" w:rsidRPr="009677CC">
        <w:rPr>
          <w:bCs/>
          <w:sz w:val="22"/>
          <w:szCs w:val="22"/>
          <w:lang w:val="hr-HR"/>
        </w:rPr>
        <w:t>244.600</w:t>
      </w:r>
      <w:r w:rsidRPr="009677CC">
        <w:rPr>
          <w:bCs/>
          <w:sz w:val="22"/>
          <w:szCs w:val="22"/>
          <w:lang w:val="hr-HR"/>
        </w:rPr>
        <w:t>,00 kn. Promjena se odnosi na slijedeće:</w:t>
      </w:r>
    </w:p>
    <w:p w14:paraId="1C968995" w14:textId="068F7BD8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A461C9" w:rsidRPr="009677CC">
        <w:rPr>
          <w:bCs/>
          <w:sz w:val="22"/>
          <w:szCs w:val="22"/>
          <w:lang w:val="hr-HR"/>
        </w:rPr>
        <w:t>povećanje</w:t>
      </w:r>
      <w:r w:rsidRPr="009677CC">
        <w:rPr>
          <w:bCs/>
          <w:sz w:val="22"/>
          <w:szCs w:val="22"/>
          <w:lang w:val="hr-HR"/>
        </w:rPr>
        <w:t xml:space="preserve"> rashoda programa </w:t>
      </w:r>
      <w:r w:rsidR="00A461C9" w:rsidRPr="009677CC">
        <w:rPr>
          <w:bCs/>
          <w:sz w:val="22"/>
          <w:szCs w:val="22"/>
          <w:lang w:val="hr-HR"/>
        </w:rPr>
        <w:t xml:space="preserve">Turističke zajednice </w:t>
      </w:r>
      <w:r w:rsidRPr="009677CC">
        <w:rPr>
          <w:bCs/>
          <w:sz w:val="22"/>
          <w:szCs w:val="22"/>
          <w:lang w:val="hr-HR"/>
        </w:rPr>
        <w:t xml:space="preserve">za 5.000,00 kn </w:t>
      </w:r>
      <w:r w:rsidR="00A461C9" w:rsidRPr="009677CC">
        <w:rPr>
          <w:bCs/>
          <w:sz w:val="22"/>
          <w:szCs w:val="22"/>
          <w:lang w:val="hr-HR"/>
        </w:rPr>
        <w:t>kroz ak</w:t>
      </w:r>
      <w:r w:rsidR="00A448A7" w:rsidRPr="009677CC">
        <w:rPr>
          <w:bCs/>
          <w:sz w:val="22"/>
          <w:szCs w:val="22"/>
          <w:lang w:val="hr-HR"/>
        </w:rPr>
        <w:t>t</w:t>
      </w:r>
      <w:r w:rsidR="00A461C9" w:rsidRPr="009677CC">
        <w:rPr>
          <w:bCs/>
          <w:sz w:val="22"/>
          <w:szCs w:val="22"/>
          <w:lang w:val="hr-HR"/>
        </w:rPr>
        <w:t xml:space="preserve">ivnost </w:t>
      </w:r>
      <w:r w:rsidR="00A448A7" w:rsidRPr="009677CC">
        <w:rPr>
          <w:bCs/>
          <w:sz w:val="22"/>
          <w:szCs w:val="22"/>
          <w:lang w:val="hr-HR"/>
        </w:rPr>
        <w:t>Donacije za priredbe i manifestacije,</w:t>
      </w:r>
    </w:p>
    <w:p w14:paraId="5628D67F" w14:textId="55AF2B64" w:rsidR="00CE1DFD" w:rsidRPr="009677CC" w:rsidRDefault="00CE1DFD" w:rsidP="00CE1DF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 -smanjenje rashoda programa </w:t>
      </w:r>
      <w:r w:rsidR="00A448A7" w:rsidRPr="009677CC">
        <w:rPr>
          <w:bCs/>
          <w:sz w:val="22"/>
          <w:szCs w:val="22"/>
          <w:lang w:val="hr-HR"/>
        </w:rPr>
        <w:t>Političke stranke, udruge građana i ostalo</w:t>
      </w:r>
      <w:r w:rsidRPr="009677CC">
        <w:rPr>
          <w:bCs/>
          <w:sz w:val="22"/>
          <w:szCs w:val="22"/>
          <w:lang w:val="hr-HR"/>
        </w:rPr>
        <w:t xml:space="preserve"> za </w:t>
      </w:r>
      <w:r w:rsidR="00A448A7" w:rsidRPr="009677CC">
        <w:rPr>
          <w:bCs/>
          <w:sz w:val="22"/>
          <w:szCs w:val="22"/>
          <w:lang w:val="hr-HR"/>
        </w:rPr>
        <w:t>55</w:t>
      </w:r>
      <w:r w:rsidRPr="009677CC">
        <w:rPr>
          <w:bCs/>
          <w:sz w:val="22"/>
          <w:szCs w:val="22"/>
          <w:lang w:val="hr-HR"/>
        </w:rPr>
        <w:t>.</w:t>
      </w:r>
      <w:r w:rsidR="00A448A7" w:rsidRPr="009677CC">
        <w:rPr>
          <w:bCs/>
          <w:sz w:val="22"/>
          <w:szCs w:val="22"/>
          <w:lang w:val="hr-HR"/>
        </w:rPr>
        <w:t>4</w:t>
      </w:r>
      <w:r w:rsidRPr="009677CC">
        <w:rPr>
          <w:bCs/>
          <w:sz w:val="22"/>
          <w:szCs w:val="22"/>
          <w:lang w:val="hr-HR"/>
        </w:rPr>
        <w:t xml:space="preserve">00,00 kn </w:t>
      </w:r>
      <w:r w:rsidR="00A448A7" w:rsidRPr="009677CC">
        <w:rPr>
          <w:bCs/>
          <w:sz w:val="22"/>
          <w:szCs w:val="22"/>
          <w:lang w:val="hr-HR"/>
        </w:rPr>
        <w:t>kroz aktivnost Donacije udrugama građana,</w:t>
      </w:r>
    </w:p>
    <w:p w14:paraId="2A2C8FD1" w14:textId="77777777" w:rsidR="007C29D8" w:rsidRPr="009677CC" w:rsidRDefault="007C29D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C205868" w14:textId="02CAAD6C" w:rsidR="006416F1" w:rsidRPr="009677CC" w:rsidRDefault="00B116C9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Upravnog odjela za komunalne djelatnosti i gospodarenje</w:t>
      </w:r>
      <w:r w:rsidR="007C29D8" w:rsidRPr="009677CC">
        <w:rPr>
          <w:bCs/>
          <w:sz w:val="22"/>
          <w:szCs w:val="22"/>
          <w:lang w:val="hr-HR"/>
        </w:rPr>
        <w:t xml:space="preserve"> - razdjel 003</w:t>
      </w:r>
      <w:r w:rsidRPr="009677CC">
        <w:rPr>
          <w:bCs/>
          <w:sz w:val="22"/>
          <w:szCs w:val="22"/>
          <w:lang w:val="hr-HR"/>
        </w:rPr>
        <w:t xml:space="preserve"> smanjeni su za </w:t>
      </w:r>
      <w:r w:rsidR="00634FE2" w:rsidRPr="009677CC">
        <w:rPr>
          <w:bCs/>
          <w:sz w:val="22"/>
          <w:szCs w:val="22"/>
          <w:lang w:val="hr-HR"/>
        </w:rPr>
        <w:t>11.503.943</w:t>
      </w:r>
      <w:r w:rsidRPr="009677CC">
        <w:rPr>
          <w:bCs/>
          <w:sz w:val="22"/>
          <w:szCs w:val="22"/>
          <w:lang w:val="hr-HR"/>
        </w:rPr>
        <w:t xml:space="preserve">,00 kn, odnosno za </w:t>
      </w:r>
      <w:r w:rsidR="00634FE2" w:rsidRPr="009677CC">
        <w:rPr>
          <w:bCs/>
          <w:sz w:val="22"/>
          <w:szCs w:val="22"/>
          <w:lang w:val="hr-HR"/>
        </w:rPr>
        <w:t>14,68</w:t>
      </w:r>
      <w:r w:rsidRPr="009677CC">
        <w:rPr>
          <w:bCs/>
          <w:sz w:val="22"/>
          <w:szCs w:val="22"/>
          <w:lang w:val="hr-HR"/>
        </w:rPr>
        <w:t xml:space="preserve">% i sada iznose </w:t>
      </w:r>
      <w:r w:rsidR="00634FE2" w:rsidRPr="009677CC">
        <w:rPr>
          <w:bCs/>
          <w:sz w:val="22"/>
          <w:szCs w:val="22"/>
          <w:lang w:val="hr-HR"/>
        </w:rPr>
        <w:t>66.865.196</w:t>
      </w:r>
      <w:r w:rsidRPr="009677CC">
        <w:rPr>
          <w:bCs/>
          <w:sz w:val="22"/>
          <w:szCs w:val="22"/>
          <w:lang w:val="hr-HR"/>
        </w:rPr>
        <w:t>,00 kn. Kroz ovaj upravni odjel planirani su programi, projekti i aktivnosti koji proizlaze iz djelokruga ovog upravnog odjela: programi osnovne aktivnosti upravnih tijela, održavanja, ulaganja, gospodarstva, financiranja DVD-a i Vatrogasne zajednice, Civilne zaštite i proračunskih korisnika: Javne vatrogasne postrojbe i Lokalne razvojne agencije Požega.</w:t>
      </w:r>
    </w:p>
    <w:p w14:paraId="471C0C0E" w14:textId="77777777" w:rsidR="00F343C8" w:rsidRPr="009677CC" w:rsidRDefault="00F343C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6030781A" w14:textId="120F84B2" w:rsidR="00822018" w:rsidRPr="009677CC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Održavanje komunalne infrastrukture povećani su za </w:t>
      </w:r>
      <w:r w:rsidR="00634FE2" w:rsidRPr="009677CC">
        <w:rPr>
          <w:bCs/>
          <w:sz w:val="22"/>
          <w:szCs w:val="22"/>
          <w:lang w:val="hr-HR"/>
        </w:rPr>
        <w:t>1.665.465</w:t>
      </w:r>
      <w:r w:rsidRPr="009677CC">
        <w:rPr>
          <w:bCs/>
          <w:sz w:val="22"/>
          <w:szCs w:val="22"/>
          <w:lang w:val="hr-HR"/>
        </w:rPr>
        <w:t>,00 kn ili za 1</w:t>
      </w:r>
      <w:r w:rsidR="00634FE2" w:rsidRPr="009677CC">
        <w:rPr>
          <w:bCs/>
          <w:sz w:val="22"/>
          <w:szCs w:val="22"/>
          <w:lang w:val="hr-HR"/>
        </w:rPr>
        <w:t>5,40</w:t>
      </w:r>
      <w:r w:rsidRPr="009677CC">
        <w:rPr>
          <w:bCs/>
          <w:sz w:val="22"/>
          <w:szCs w:val="22"/>
          <w:lang w:val="hr-HR"/>
        </w:rPr>
        <w:t>% i sada iznose 1</w:t>
      </w:r>
      <w:r w:rsidR="00634FE2" w:rsidRPr="009677CC">
        <w:rPr>
          <w:bCs/>
          <w:sz w:val="22"/>
          <w:szCs w:val="22"/>
          <w:lang w:val="hr-HR"/>
        </w:rPr>
        <w:t>2.480.464</w:t>
      </w:r>
      <w:r w:rsidRPr="009677CC">
        <w:rPr>
          <w:bCs/>
          <w:sz w:val="22"/>
          <w:szCs w:val="22"/>
          <w:lang w:val="hr-HR"/>
        </w:rPr>
        <w:t>,00 kn. Kroz navedeno povećanje povećane su slijedeće aktivnosti:</w:t>
      </w:r>
    </w:p>
    <w:p w14:paraId="453B6586" w14:textId="5EC8411A" w:rsidR="00822018" w:rsidRPr="009677CC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-Održavanje prometnica i mostova za </w:t>
      </w:r>
      <w:r w:rsidR="00634FE2" w:rsidRPr="009677CC">
        <w:rPr>
          <w:bCs/>
          <w:sz w:val="22"/>
          <w:szCs w:val="22"/>
          <w:lang w:val="hr-HR"/>
        </w:rPr>
        <w:t>1.265.465</w:t>
      </w:r>
      <w:r w:rsidRPr="009677CC">
        <w:rPr>
          <w:bCs/>
          <w:sz w:val="22"/>
          <w:szCs w:val="22"/>
          <w:lang w:val="hr-HR"/>
        </w:rPr>
        <w:t xml:space="preserve">,00 kn, </w:t>
      </w:r>
    </w:p>
    <w:p w14:paraId="4DAAFA62" w14:textId="0184AB55" w:rsidR="00822018" w:rsidRPr="009677CC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-Održavanje i potrošnja javne rasvjete za </w:t>
      </w:r>
      <w:r w:rsidR="00634FE2" w:rsidRPr="009677CC">
        <w:rPr>
          <w:bCs/>
          <w:sz w:val="22"/>
          <w:szCs w:val="22"/>
          <w:lang w:val="hr-HR"/>
        </w:rPr>
        <w:t>360</w:t>
      </w:r>
      <w:r w:rsidRPr="009677CC">
        <w:rPr>
          <w:bCs/>
          <w:sz w:val="22"/>
          <w:szCs w:val="22"/>
          <w:lang w:val="hr-HR"/>
        </w:rPr>
        <w:t>.000,00 kn, značajnije povećanje rashoda za potrošnju električne energije, zbog nepredvidivosti ukupne potrošnje</w:t>
      </w:r>
      <w:r w:rsidR="00634FE2" w:rsidRPr="009677CC">
        <w:rPr>
          <w:bCs/>
          <w:sz w:val="22"/>
          <w:szCs w:val="22"/>
          <w:lang w:val="hr-HR"/>
        </w:rPr>
        <w:t>.</w:t>
      </w:r>
    </w:p>
    <w:p w14:paraId="59AD94E6" w14:textId="77777777" w:rsidR="00634FE2" w:rsidRPr="009677CC" w:rsidRDefault="00634FE2" w:rsidP="009677CC">
      <w:pPr>
        <w:autoSpaceDE w:val="0"/>
        <w:jc w:val="both"/>
        <w:rPr>
          <w:bCs/>
          <w:sz w:val="22"/>
          <w:szCs w:val="22"/>
          <w:lang w:val="hr-HR"/>
        </w:rPr>
      </w:pPr>
    </w:p>
    <w:p w14:paraId="7577026B" w14:textId="2FC16DEA" w:rsidR="006C3355" w:rsidRPr="009677CC" w:rsidRDefault="008220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Održavanje poslovnih, stambenih prostora, opreme i drugo povećavaju se za </w:t>
      </w:r>
      <w:r w:rsidR="00EE4E20" w:rsidRPr="009677CC">
        <w:rPr>
          <w:bCs/>
          <w:sz w:val="22"/>
          <w:szCs w:val="22"/>
          <w:lang w:val="hr-HR"/>
        </w:rPr>
        <w:t>20</w:t>
      </w:r>
      <w:r w:rsidRPr="009677CC">
        <w:rPr>
          <w:bCs/>
          <w:sz w:val="22"/>
          <w:szCs w:val="22"/>
          <w:lang w:val="hr-HR"/>
        </w:rPr>
        <w:t>.000,00 kn</w:t>
      </w:r>
      <w:r w:rsidR="006C3355" w:rsidRPr="009677CC">
        <w:rPr>
          <w:bCs/>
          <w:sz w:val="22"/>
          <w:szCs w:val="22"/>
          <w:lang w:val="hr-HR"/>
        </w:rPr>
        <w:t xml:space="preserve"> ili za </w:t>
      </w:r>
      <w:r w:rsidR="00EE4E20" w:rsidRPr="009677CC">
        <w:rPr>
          <w:bCs/>
          <w:sz w:val="22"/>
          <w:szCs w:val="22"/>
          <w:lang w:val="hr-HR"/>
        </w:rPr>
        <w:t>3,85</w:t>
      </w:r>
      <w:r w:rsidR="006C3355" w:rsidRPr="009677CC">
        <w:rPr>
          <w:bCs/>
          <w:sz w:val="22"/>
          <w:szCs w:val="22"/>
          <w:lang w:val="hr-HR"/>
        </w:rPr>
        <w:t>% i sada iznose 5</w:t>
      </w:r>
      <w:r w:rsidR="00EE4E20" w:rsidRPr="009677CC">
        <w:rPr>
          <w:bCs/>
          <w:sz w:val="22"/>
          <w:szCs w:val="22"/>
          <w:lang w:val="hr-HR"/>
        </w:rPr>
        <w:t>40</w:t>
      </w:r>
      <w:r w:rsidR="006C3355" w:rsidRPr="009677CC">
        <w:rPr>
          <w:bCs/>
          <w:sz w:val="22"/>
          <w:szCs w:val="22"/>
          <w:lang w:val="hr-HR"/>
        </w:rPr>
        <w:t>.000</w:t>
      </w:r>
      <w:r w:rsidR="007C29D8" w:rsidRPr="009677CC">
        <w:rPr>
          <w:bCs/>
          <w:sz w:val="22"/>
          <w:szCs w:val="22"/>
          <w:lang w:val="hr-HR"/>
        </w:rPr>
        <w:t>,</w:t>
      </w:r>
      <w:r w:rsidR="006C3355" w:rsidRPr="009677CC">
        <w:rPr>
          <w:bCs/>
          <w:sz w:val="22"/>
          <w:szCs w:val="22"/>
          <w:lang w:val="hr-HR"/>
        </w:rPr>
        <w:t>00 kn.  Povećanje je</w:t>
      </w:r>
      <w:r w:rsidRPr="009677CC">
        <w:rPr>
          <w:bCs/>
          <w:sz w:val="22"/>
          <w:szCs w:val="22"/>
          <w:lang w:val="hr-HR"/>
        </w:rPr>
        <w:t xml:space="preserve"> </w:t>
      </w:r>
      <w:r w:rsidR="006C3355" w:rsidRPr="009677CC">
        <w:rPr>
          <w:bCs/>
          <w:sz w:val="22"/>
          <w:szCs w:val="22"/>
          <w:lang w:val="hr-HR"/>
        </w:rPr>
        <w:t>radi održavanja poslovnih prostora i stanova u vlasništvu Grada, osobito nakon elementarnih nepogoda.</w:t>
      </w:r>
    </w:p>
    <w:p w14:paraId="0170398A" w14:textId="74F49310" w:rsidR="009172A0" w:rsidRPr="009677CC" w:rsidRDefault="006C335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lastRenderedPageBreak/>
        <w:t>Rashodi programa Održavanje spomeničkih vrijednosti</w:t>
      </w:r>
      <w:r w:rsidR="00822018" w:rsidRPr="009677CC">
        <w:rPr>
          <w:bCs/>
          <w:sz w:val="22"/>
          <w:szCs w:val="22"/>
          <w:lang w:val="hr-HR"/>
        </w:rPr>
        <w:t xml:space="preserve"> </w:t>
      </w:r>
      <w:r w:rsidR="00EE4E20" w:rsidRPr="009677CC">
        <w:rPr>
          <w:bCs/>
          <w:sz w:val="22"/>
          <w:szCs w:val="22"/>
          <w:lang w:val="hr-HR"/>
        </w:rPr>
        <w:t xml:space="preserve">povećavaju </w:t>
      </w:r>
      <w:r w:rsidRPr="009677CC">
        <w:rPr>
          <w:bCs/>
          <w:sz w:val="22"/>
          <w:szCs w:val="22"/>
          <w:lang w:val="hr-HR"/>
        </w:rPr>
        <w:t xml:space="preserve">se za </w:t>
      </w:r>
      <w:r w:rsidR="00EE4E20" w:rsidRPr="009677CC">
        <w:rPr>
          <w:bCs/>
          <w:sz w:val="22"/>
          <w:szCs w:val="22"/>
          <w:lang w:val="hr-HR"/>
        </w:rPr>
        <w:t>2</w:t>
      </w:r>
      <w:r w:rsidRPr="009677CC">
        <w:rPr>
          <w:bCs/>
          <w:sz w:val="22"/>
          <w:szCs w:val="22"/>
          <w:lang w:val="hr-HR"/>
        </w:rPr>
        <w:t xml:space="preserve">0.000,00 kn, odnosno za </w:t>
      </w:r>
      <w:r w:rsidR="00EE4E20" w:rsidRPr="009677CC">
        <w:rPr>
          <w:bCs/>
          <w:sz w:val="22"/>
          <w:szCs w:val="22"/>
          <w:lang w:val="hr-HR"/>
        </w:rPr>
        <w:t>18,18</w:t>
      </w:r>
      <w:r w:rsidRPr="009677CC">
        <w:rPr>
          <w:bCs/>
          <w:sz w:val="22"/>
          <w:szCs w:val="22"/>
          <w:lang w:val="hr-HR"/>
        </w:rPr>
        <w:t>% i sada iznosi 1</w:t>
      </w:r>
      <w:r w:rsidR="00EE4E20" w:rsidRPr="009677CC">
        <w:rPr>
          <w:bCs/>
          <w:sz w:val="22"/>
          <w:szCs w:val="22"/>
          <w:lang w:val="hr-HR"/>
        </w:rPr>
        <w:t>3</w:t>
      </w:r>
      <w:r w:rsidRPr="009677CC">
        <w:rPr>
          <w:bCs/>
          <w:sz w:val="22"/>
          <w:szCs w:val="22"/>
          <w:lang w:val="hr-HR"/>
        </w:rPr>
        <w:t xml:space="preserve">0.000,00 kn. </w:t>
      </w:r>
    </w:p>
    <w:p w14:paraId="2D7CF861" w14:textId="77777777" w:rsidR="00F343C8" w:rsidRPr="009677CC" w:rsidRDefault="00F343C8" w:rsidP="0013724B">
      <w:pPr>
        <w:autoSpaceDE w:val="0"/>
        <w:jc w:val="both"/>
        <w:rPr>
          <w:bCs/>
          <w:sz w:val="22"/>
          <w:szCs w:val="22"/>
          <w:lang w:val="hr-HR"/>
        </w:rPr>
      </w:pPr>
    </w:p>
    <w:p w14:paraId="64A1A918" w14:textId="2DE60AD6" w:rsidR="006C3355" w:rsidRPr="009677CC" w:rsidRDefault="006C335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Kapitalna ulaganja u komunalnu infrastrukturu </w:t>
      </w:r>
      <w:r w:rsidR="005C61ED" w:rsidRPr="009677CC">
        <w:rPr>
          <w:bCs/>
          <w:sz w:val="22"/>
          <w:szCs w:val="22"/>
          <w:lang w:val="hr-HR"/>
        </w:rPr>
        <w:t>povećavaju</w:t>
      </w:r>
      <w:r w:rsidRPr="009677CC">
        <w:rPr>
          <w:bCs/>
          <w:sz w:val="22"/>
          <w:szCs w:val="22"/>
          <w:lang w:val="hr-HR"/>
        </w:rPr>
        <w:t xml:space="preserve"> se za 1</w:t>
      </w:r>
      <w:r w:rsidR="005C61ED" w:rsidRPr="009677CC">
        <w:rPr>
          <w:bCs/>
          <w:sz w:val="22"/>
          <w:szCs w:val="22"/>
          <w:lang w:val="hr-HR"/>
        </w:rPr>
        <w:t>50.000</w:t>
      </w:r>
      <w:r w:rsidRPr="009677CC">
        <w:rPr>
          <w:bCs/>
          <w:sz w:val="22"/>
          <w:szCs w:val="22"/>
          <w:lang w:val="hr-HR"/>
        </w:rPr>
        <w:t xml:space="preserve">,00 kn ili za </w:t>
      </w:r>
      <w:r w:rsidR="005C61ED" w:rsidRPr="009677CC">
        <w:rPr>
          <w:bCs/>
          <w:sz w:val="22"/>
          <w:szCs w:val="22"/>
          <w:lang w:val="hr-HR"/>
        </w:rPr>
        <w:t>1,75</w:t>
      </w:r>
      <w:r w:rsidRPr="009677CC">
        <w:rPr>
          <w:bCs/>
          <w:sz w:val="22"/>
          <w:szCs w:val="22"/>
          <w:lang w:val="hr-HR"/>
        </w:rPr>
        <w:t>% i sada iznose 8.</w:t>
      </w:r>
      <w:r w:rsidR="005C61ED" w:rsidRPr="009677CC">
        <w:rPr>
          <w:bCs/>
          <w:sz w:val="22"/>
          <w:szCs w:val="22"/>
          <w:lang w:val="hr-HR"/>
        </w:rPr>
        <w:t>741.374</w:t>
      </w:r>
      <w:r w:rsidRPr="009677CC">
        <w:rPr>
          <w:bCs/>
          <w:sz w:val="22"/>
          <w:szCs w:val="22"/>
          <w:lang w:val="hr-HR"/>
        </w:rPr>
        <w:t>,00 kn</w:t>
      </w:r>
      <w:r w:rsidR="005C61ED" w:rsidRPr="009677CC">
        <w:rPr>
          <w:bCs/>
          <w:sz w:val="22"/>
          <w:szCs w:val="22"/>
          <w:lang w:val="hr-HR"/>
        </w:rPr>
        <w:t>, a odnosi se na sljedeći projekt</w:t>
      </w:r>
      <w:r w:rsidR="00C844B6" w:rsidRPr="009677CC">
        <w:rPr>
          <w:bCs/>
          <w:sz w:val="22"/>
          <w:szCs w:val="22"/>
          <w:lang w:val="hr-HR"/>
        </w:rPr>
        <w:t>:</w:t>
      </w:r>
    </w:p>
    <w:p w14:paraId="77D4EBC2" w14:textId="091A4CA7" w:rsidR="00C844B6" w:rsidRPr="009677CC" w:rsidRDefault="00C844B6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-Izgradnja i dodatna ulaganja u prometnice i mostove - </w:t>
      </w:r>
      <w:r w:rsidR="005C61ED" w:rsidRPr="009677CC">
        <w:rPr>
          <w:bCs/>
          <w:sz w:val="22"/>
          <w:szCs w:val="22"/>
          <w:lang w:val="hr-HR"/>
        </w:rPr>
        <w:t>povećanje</w:t>
      </w:r>
      <w:r w:rsidRPr="009677CC">
        <w:rPr>
          <w:bCs/>
          <w:sz w:val="22"/>
          <w:szCs w:val="22"/>
          <w:lang w:val="hr-HR"/>
        </w:rPr>
        <w:t xml:space="preserve"> za </w:t>
      </w:r>
      <w:r w:rsidR="005C61ED" w:rsidRPr="009677CC">
        <w:rPr>
          <w:bCs/>
          <w:sz w:val="22"/>
          <w:szCs w:val="22"/>
          <w:lang w:val="hr-HR"/>
        </w:rPr>
        <w:t>150.000</w:t>
      </w:r>
      <w:r w:rsidRPr="009677CC">
        <w:rPr>
          <w:bCs/>
          <w:sz w:val="22"/>
          <w:szCs w:val="22"/>
          <w:lang w:val="hr-HR"/>
        </w:rPr>
        <w:t>,00 kn</w:t>
      </w:r>
      <w:r w:rsidR="008B107B" w:rsidRPr="009677CC">
        <w:rPr>
          <w:bCs/>
          <w:sz w:val="22"/>
          <w:szCs w:val="22"/>
          <w:lang w:val="hr-HR"/>
        </w:rPr>
        <w:t xml:space="preserve"> i sada iznose 4.</w:t>
      </w:r>
      <w:r w:rsidR="005C61ED" w:rsidRPr="009677CC">
        <w:rPr>
          <w:bCs/>
          <w:sz w:val="22"/>
          <w:szCs w:val="22"/>
          <w:lang w:val="hr-HR"/>
        </w:rPr>
        <w:t>679.283</w:t>
      </w:r>
      <w:r w:rsidR="008B107B" w:rsidRPr="009677CC">
        <w:rPr>
          <w:bCs/>
          <w:sz w:val="22"/>
          <w:szCs w:val="22"/>
          <w:lang w:val="hr-HR"/>
        </w:rPr>
        <w:t>,00 kn</w:t>
      </w:r>
      <w:r w:rsidR="00D57180" w:rsidRPr="009677CC">
        <w:rPr>
          <w:bCs/>
          <w:sz w:val="22"/>
          <w:szCs w:val="22"/>
          <w:lang w:val="hr-HR"/>
        </w:rPr>
        <w:t xml:space="preserve">, sukladno programu gradnje. </w:t>
      </w:r>
    </w:p>
    <w:p w14:paraId="471FE40F" w14:textId="77777777" w:rsidR="00F343C8" w:rsidRPr="009677CC" w:rsidRDefault="00F343C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1D42418" w14:textId="4F9FF593" w:rsidR="00761017" w:rsidRPr="009677CC" w:rsidRDefault="00045D8C" w:rsidP="007C4816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Kapitalna ulaganja u poslovne, stambene prostore, opremu i drugo </w:t>
      </w:r>
      <w:r w:rsidR="007C4816" w:rsidRPr="009677CC">
        <w:rPr>
          <w:bCs/>
          <w:sz w:val="22"/>
          <w:szCs w:val="22"/>
          <w:lang w:val="hr-HR"/>
        </w:rPr>
        <w:t>povećavaju</w:t>
      </w:r>
      <w:r w:rsidRPr="009677CC">
        <w:rPr>
          <w:bCs/>
          <w:sz w:val="22"/>
          <w:szCs w:val="22"/>
          <w:lang w:val="hr-HR"/>
        </w:rPr>
        <w:t xml:space="preserve"> se za </w:t>
      </w:r>
      <w:r w:rsidR="007C4816" w:rsidRPr="009677CC">
        <w:rPr>
          <w:bCs/>
          <w:sz w:val="22"/>
          <w:szCs w:val="22"/>
          <w:lang w:val="hr-HR"/>
        </w:rPr>
        <w:t>155.000</w:t>
      </w:r>
      <w:r w:rsidRPr="009677CC">
        <w:rPr>
          <w:bCs/>
          <w:sz w:val="22"/>
          <w:szCs w:val="22"/>
          <w:lang w:val="hr-HR"/>
        </w:rPr>
        <w:t xml:space="preserve">,00 kn ili za </w:t>
      </w:r>
      <w:r w:rsidR="007C4816" w:rsidRPr="009677CC">
        <w:rPr>
          <w:bCs/>
          <w:sz w:val="22"/>
          <w:szCs w:val="22"/>
          <w:lang w:val="hr-HR"/>
        </w:rPr>
        <w:t>5,78</w:t>
      </w:r>
      <w:r w:rsidRPr="009677CC">
        <w:rPr>
          <w:bCs/>
          <w:sz w:val="22"/>
          <w:szCs w:val="22"/>
          <w:lang w:val="hr-HR"/>
        </w:rPr>
        <w:t xml:space="preserve">% i sada iznose </w:t>
      </w:r>
      <w:r w:rsidR="007C4816" w:rsidRPr="009677CC">
        <w:rPr>
          <w:bCs/>
          <w:sz w:val="22"/>
          <w:szCs w:val="22"/>
          <w:lang w:val="hr-HR"/>
        </w:rPr>
        <w:t>2.835.678</w:t>
      </w:r>
      <w:r w:rsidRPr="009677CC">
        <w:rPr>
          <w:bCs/>
          <w:sz w:val="22"/>
          <w:szCs w:val="22"/>
          <w:lang w:val="hr-HR"/>
        </w:rPr>
        <w:t>,00 kn</w:t>
      </w:r>
      <w:r w:rsidR="007C4816" w:rsidRPr="009677CC">
        <w:rPr>
          <w:bCs/>
          <w:sz w:val="22"/>
          <w:szCs w:val="22"/>
          <w:lang w:val="hr-HR"/>
        </w:rPr>
        <w:t>, a odnos</w:t>
      </w:r>
      <w:r w:rsidR="003811A5" w:rsidRPr="009677CC">
        <w:rPr>
          <w:bCs/>
          <w:sz w:val="22"/>
          <w:szCs w:val="22"/>
          <w:lang w:val="hr-HR"/>
        </w:rPr>
        <w:t>e</w:t>
      </w:r>
      <w:r w:rsidR="007C4816" w:rsidRPr="009677CC">
        <w:rPr>
          <w:bCs/>
          <w:sz w:val="22"/>
          <w:szCs w:val="22"/>
          <w:lang w:val="hr-HR"/>
        </w:rPr>
        <w:t xml:space="preserve"> se na projekt </w:t>
      </w:r>
      <w:r w:rsidR="00761017" w:rsidRPr="009677CC">
        <w:rPr>
          <w:bCs/>
          <w:sz w:val="22"/>
          <w:szCs w:val="22"/>
          <w:lang w:val="hr-HR"/>
        </w:rPr>
        <w:t>Ulaganje u objekt Gradske uprave - povećanje za 1</w:t>
      </w:r>
      <w:r w:rsidR="007C4816" w:rsidRPr="009677CC">
        <w:rPr>
          <w:bCs/>
          <w:sz w:val="22"/>
          <w:szCs w:val="22"/>
          <w:lang w:val="hr-HR"/>
        </w:rPr>
        <w:t>55</w:t>
      </w:r>
      <w:r w:rsidR="00761017" w:rsidRPr="009677CC">
        <w:rPr>
          <w:bCs/>
          <w:sz w:val="22"/>
          <w:szCs w:val="22"/>
          <w:lang w:val="hr-HR"/>
        </w:rPr>
        <w:t>.000,00 kn radi planiranja radova na uređenju poslovnog prostora Gradske uprave-pisarnice</w:t>
      </w:r>
      <w:r w:rsidR="007C4816" w:rsidRPr="009677CC">
        <w:rPr>
          <w:bCs/>
          <w:sz w:val="22"/>
          <w:szCs w:val="22"/>
          <w:lang w:val="hr-HR"/>
        </w:rPr>
        <w:t>.</w:t>
      </w:r>
    </w:p>
    <w:p w14:paraId="2A326AB3" w14:textId="77777777" w:rsidR="00F343C8" w:rsidRPr="009677CC" w:rsidRDefault="00F343C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8EE1515" w14:textId="658829F1" w:rsidR="007909D1" w:rsidRPr="009677CC" w:rsidRDefault="007909D1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Ulaganje u prostorno-plansku dokumentaciju </w:t>
      </w:r>
      <w:r w:rsidR="007C4816" w:rsidRPr="009677CC">
        <w:rPr>
          <w:bCs/>
          <w:sz w:val="22"/>
          <w:szCs w:val="22"/>
          <w:lang w:val="hr-HR"/>
        </w:rPr>
        <w:t xml:space="preserve"> </w:t>
      </w:r>
      <w:r w:rsidR="00F343C8" w:rsidRPr="009677CC">
        <w:rPr>
          <w:bCs/>
          <w:sz w:val="22"/>
          <w:szCs w:val="22"/>
          <w:lang w:val="hr-HR"/>
        </w:rPr>
        <w:t>iznose 541.053,00 kn</w:t>
      </w:r>
      <w:r w:rsidR="007C4816" w:rsidRPr="009677CC">
        <w:rPr>
          <w:bCs/>
          <w:sz w:val="22"/>
          <w:szCs w:val="22"/>
          <w:lang w:val="hr-HR"/>
        </w:rPr>
        <w:t xml:space="preserve"> uz preraspodjelu unutar programa</w:t>
      </w:r>
      <w:r w:rsidR="00F722E8" w:rsidRPr="009677CC">
        <w:rPr>
          <w:bCs/>
          <w:sz w:val="22"/>
          <w:szCs w:val="22"/>
          <w:lang w:val="hr-HR"/>
        </w:rPr>
        <w:t>:</w:t>
      </w:r>
    </w:p>
    <w:p w14:paraId="0A7F8503" w14:textId="00546BF2" w:rsidR="00F343C8" w:rsidRPr="009677CC" w:rsidRDefault="00F343C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-Geodetsko - katastarske usluge - </w:t>
      </w:r>
      <w:r w:rsidR="00F722E8" w:rsidRPr="009677CC">
        <w:rPr>
          <w:bCs/>
          <w:sz w:val="22"/>
          <w:szCs w:val="22"/>
          <w:lang w:val="hr-HR"/>
        </w:rPr>
        <w:t>povećanje</w:t>
      </w:r>
      <w:r w:rsidRPr="009677CC">
        <w:rPr>
          <w:bCs/>
          <w:sz w:val="22"/>
          <w:szCs w:val="22"/>
          <w:lang w:val="hr-HR"/>
        </w:rPr>
        <w:t xml:space="preserve"> za </w:t>
      </w:r>
      <w:r w:rsidR="00F722E8" w:rsidRPr="009677CC">
        <w:rPr>
          <w:bCs/>
          <w:sz w:val="22"/>
          <w:szCs w:val="22"/>
          <w:lang w:val="hr-HR"/>
        </w:rPr>
        <w:t>20.000</w:t>
      </w:r>
      <w:r w:rsidRPr="009677CC">
        <w:rPr>
          <w:bCs/>
          <w:sz w:val="22"/>
          <w:szCs w:val="22"/>
          <w:lang w:val="hr-HR"/>
        </w:rPr>
        <w:t>,00 kn</w:t>
      </w:r>
    </w:p>
    <w:p w14:paraId="2414D412" w14:textId="28FF28F0" w:rsidR="00F343C8" w:rsidRPr="009677CC" w:rsidRDefault="00F343C8" w:rsidP="00F722E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-Izrada strategije izgradnje sustava oborinske odvodnje na području Grada Požege - smanjenje za </w:t>
      </w:r>
      <w:r w:rsidR="00F722E8" w:rsidRPr="009677CC">
        <w:rPr>
          <w:bCs/>
          <w:sz w:val="22"/>
          <w:szCs w:val="22"/>
          <w:lang w:val="hr-HR"/>
        </w:rPr>
        <w:t>2</w:t>
      </w:r>
      <w:r w:rsidRPr="009677CC">
        <w:rPr>
          <w:bCs/>
          <w:sz w:val="22"/>
          <w:szCs w:val="22"/>
          <w:lang w:val="hr-HR"/>
        </w:rPr>
        <w:t>0.000,00 kn</w:t>
      </w:r>
      <w:r w:rsidR="00FD2345" w:rsidRPr="009677CC">
        <w:rPr>
          <w:bCs/>
          <w:sz w:val="22"/>
          <w:szCs w:val="22"/>
          <w:lang w:val="hr-HR"/>
        </w:rPr>
        <w:t>, jer će isti raditi Tekija</w:t>
      </w:r>
      <w:r w:rsidRPr="009677CC">
        <w:rPr>
          <w:bCs/>
          <w:sz w:val="22"/>
          <w:szCs w:val="22"/>
          <w:lang w:val="hr-HR"/>
        </w:rPr>
        <w:t>.</w:t>
      </w:r>
    </w:p>
    <w:p w14:paraId="1A0750BA" w14:textId="77777777" w:rsidR="00F343C8" w:rsidRPr="009677CC" w:rsidRDefault="00F343C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9BD15A9" w14:textId="6B16141B" w:rsidR="00C82316" w:rsidRPr="009677CC" w:rsidRDefault="00F343C8" w:rsidP="00F722E8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Otkup zemljišta i objekata </w:t>
      </w:r>
      <w:r w:rsidR="00F722E8" w:rsidRPr="009677CC">
        <w:rPr>
          <w:bCs/>
          <w:sz w:val="22"/>
          <w:szCs w:val="22"/>
          <w:lang w:val="hr-HR"/>
        </w:rPr>
        <w:t>smanjuju</w:t>
      </w:r>
      <w:r w:rsidRPr="009677CC">
        <w:rPr>
          <w:bCs/>
          <w:sz w:val="22"/>
          <w:szCs w:val="22"/>
          <w:lang w:val="hr-HR"/>
        </w:rPr>
        <w:t xml:space="preserve"> se za </w:t>
      </w:r>
      <w:r w:rsidR="00F722E8" w:rsidRPr="009677CC">
        <w:rPr>
          <w:bCs/>
          <w:sz w:val="22"/>
          <w:szCs w:val="22"/>
          <w:lang w:val="hr-HR"/>
        </w:rPr>
        <w:t>300</w:t>
      </w:r>
      <w:r w:rsidRPr="009677CC">
        <w:rPr>
          <w:bCs/>
          <w:sz w:val="22"/>
          <w:szCs w:val="22"/>
          <w:lang w:val="hr-HR"/>
        </w:rPr>
        <w:t>.000,00 k</w:t>
      </w:r>
      <w:r w:rsidR="00F722E8" w:rsidRPr="009677CC">
        <w:rPr>
          <w:bCs/>
          <w:sz w:val="22"/>
          <w:szCs w:val="22"/>
          <w:lang w:val="hr-HR"/>
        </w:rPr>
        <w:t xml:space="preserve">n iz razloga što se neće realizirati u ovoj godini, a odnosilo se na </w:t>
      </w:r>
      <w:r w:rsidRPr="009677CC">
        <w:rPr>
          <w:bCs/>
          <w:sz w:val="22"/>
          <w:szCs w:val="22"/>
          <w:lang w:val="hr-HR"/>
        </w:rPr>
        <w:t>otkup zemljišta</w:t>
      </w:r>
      <w:r w:rsidR="00C82316" w:rsidRPr="009677CC">
        <w:rPr>
          <w:bCs/>
          <w:sz w:val="22"/>
          <w:szCs w:val="22"/>
          <w:lang w:val="hr-HR"/>
        </w:rPr>
        <w:t xml:space="preserve"> od časnih sestara</w:t>
      </w:r>
      <w:r w:rsidRPr="009677CC">
        <w:rPr>
          <w:bCs/>
          <w:sz w:val="22"/>
          <w:szCs w:val="22"/>
          <w:lang w:val="hr-HR"/>
        </w:rPr>
        <w:t xml:space="preserve"> za izgradnju </w:t>
      </w:r>
      <w:r w:rsidR="00C82316" w:rsidRPr="009677CC">
        <w:rPr>
          <w:bCs/>
          <w:sz w:val="22"/>
          <w:szCs w:val="22"/>
          <w:lang w:val="hr-HR"/>
        </w:rPr>
        <w:t xml:space="preserve">dvorane uz OŠ Antuna </w:t>
      </w:r>
      <w:proofErr w:type="spellStart"/>
      <w:r w:rsidR="00C82316" w:rsidRPr="009677CC">
        <w:rPr>
          <w:bCs/>
          <w:sz w:val="22"/>
          <w:szCs w:val="22"/>
          <w:lang w:val="hr-HR"/>
        </w:rPr>
        <w:t>Kani</w:t>
      </w:r>
      <w:r w:rsidR="00F97E91" w:rsidRPr="009677CC">
        <w:rPr>
          <w:bCs/>
          <w:sz w:val="22"/>
          <w:szCs w:val="22"/>
          <w:lang w:val="hr-HR"/>
        </w:rPr>
        <w:t>ž</w:t>
      </w:r>
      <w:r w:rsidR="00C82316" w:rsidRPr="009677CC">
        <w:rPr>
          <w:bCs/>
          <w:sz w:val="22"/>
          <w:szCs w:val="22"/>
          <w:lang w:val="hr-HR"/>
        </w:rPr>
        <w:t>lića</w:t>
      </w:r>
      <w:proofErr w:type="spellEnd"/>
      <w:r w:rsidR="00C82316" w:rsidRPr="009677CC">
        <w:rPr>
          <w:bCs/>
          <w:sz w:val="22"/>
          <w:szCs w:val="22"/>
          <w:lang w:val="hr-HR"/>
        </w:rPr>
        <w:t xml:space="preserve">. </w:t>
      </w:r>
    </w:p>
    <w:p w14:paraId="19A57266" w14:textId="77777777" w:rsidR="005F0DDD" w:rsidRPr="009677CC" w:rsidRDefault="005F0DDD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56948A60" w14:textId="2FB602BA" w:rsidR="00761017" w:rsidRPr="009677CC" w:rsidRDefault="00F722E8" w:rsidP="00A04907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programa Poticaji u poljoprivredi povećavaju se za 10.000,00 kn</w:t>
      </w:r>
      <w:r w:rsidR="00A04907" w:rsidRPr="009677CC">
        <w:rPr>
          <w:bCs/>
          <w:sz w:val="22"/>
          <w:szCs w:val="22"/>
          <w:lang w:val="hr-HR"/>
        </w:rPr>
        <w:t xml:space="preserve"> ili za 6,67 % i sada iznose 160.000,00 kn, a odnosi se na povećanje</w:t>
      </w:r>
      <w:r w:rsidR="0093554B" w:rsidRPr="009677CC">
        <w:rPr>
          <w:bCs/>
          <w:sz w:val="22"/>
          <w:szCs w:val="22"/>
          <w:lang w:val="hr-HR"/>
        </w:rPr>
        <w:t xml:space="preserve"> sredstava za</w:t>
      </w:r>
      <w:r w:rsidR="00A04907" w:rsidRPr="009677CC">
        <w:rPr>
          <w:bCs/>
          <w:sz w:val="22"/>
          <w:szCs w:val="22"/>
          <w:lang w:val="hr-HR"/>
        </w:rPr>
        <w:t xml:space="preserve"> poticaj</w:t>
      </w:r>
      <w:r w:rsidR="0093554B" w:rsidRPr="009677CC">
        <w:rPr>
          <w:bCs/>
          <w:sz w:val="22"/>
          <w:szCs w:val="22"/>
          <w:lang w:val="hr-HR"/>
        </w:rPr>
        <w:t>e</w:t>
      </w:r>
      <w:r w:rsidR="00A04907" w:rsidRPr="009677CC">
        <w:rPr>
          <w:bCs/>
          <w:sz w:val="22"/>
          <w:szCs w:val="22"/>
          <w:lang w:val="hr-HR"/>
        </w:rPr>
        <w:t xml:space="preserve"> u poljoprivredi.</w:t>
      </w:r>
    </w:p>
    <w:p w14:paraId="26FE7408" w14:textId="6AA7BC55" w:rsidR="00EF0444" w:rsidRPr="009677CC" w:rsidRDefault="00EF0444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Elementarna nepogoda planirani su u iznosu </w:t>
      </w:r>
      <w:r w:rsidR="00A04907" w:rsidRPr="009677CC">
        <w:rPr>
          <w:bCs/>
          <w:sz w:val="22"/>
          <w:szCs w:val="22"/>
          <w:lang w:val="hr-HR"/>
        </w:rPr>
        <w:t>smanjeni su za 1.102.986 kn ili za 7,32 % i iznose 13.970.631,00 kn,</w:t>
      </w:r>
      <w:r w:rsidRPr="009677CC">
        <w:rPr>
          <w:bCs/>
          <w:sz w:val="22"/>
          <w:szCs w:val="22"/>
          <w:lang w:val="hr-HR"/>
        </w:rPr>
        <w:t xml:space="preserve"> a odnose se na projekt Sanacije štete od prirodne nepogode. Planirana su sredstva iz pomoći u iznosu 1</w:t>
      </w:r>
      <w:r w:rsidR="00A04907" w:rsidRPr="009677CC">
        <w:rPr>
          <w:bCs/>
          <w:sz w:val="22"/>
          <w:szCs w:val="22"/>
          <w:lang w:val="hr-HR"/>
        </w:rPr>
        <w:t>3.035.631</w:t>
      </w:r>
      <w:r w:rsidRPr="009677CC">
        <w:rPr>
          <w:bCs/>
          <w:sz w:val="22"/>
          <w:szCs w:val="22"/>
          <w:lang w:val="hr-HR"/>
        </w:rPr>
        <w:t xml:space="preserve">,00 kn za isplatu naknade za štete poplave i tuče prema odobrenim zahtjevima, a ostatak se odnosi na nabavu kontejnera na NK Slavoniji prilikom sanacije, za materijale, dodatna ulaganja na drugim građevinskim objektima i usluge tekućeg i investicijskog održavanja tih objekata. Prema procjeni 450.000,00 kn je planirano iz odštete od osiguravajućeg društva, </w:t>
      </w:r>
      <w:r w:rsidR="006F1C10" w:rsidRPr="009677CC">
        <w:rPr>
          <w:bCs/>
          <w:sz w:val="22"/>
          <w:szCs w:val="22"/>
          <w:lang w:val="hr-HR"/>
        </w:rPr>
        <w:t xml:space="preserve">a 485.000,00 kn iz sredstava Grada. </w:t>
      </w:r>
    </w:p>
    <w:p w14:paraId="3E6D8411" w14:textId="77777777" w:rsidR="006F1C10" w:rsidRPr="009677CC" w:rsidRDefault="006F1C1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1032000C" w14:textId="5C6FE0D4" w:rsidR="006F1C10" w:rsidRPr="009677CC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programa Poticanje zapošljavanja i razvoja poduzetništva planirano j</w:t>
      </w:r>
      <w:r w:rsidR="00A04907" w:rsidRPr="009677CC">
        <w:rPr>
          <w:bCs/>
          <w:sz w:val="22"/>
          <w:szCs w:val="22"/>
          <w:lang w:val="hr-HR"/>
        </w:rPr>
        <w:t>e smanjenje</w:t>
      </w:r>
      <w:r w:rsidRPr="009677CC">
        <w:rPr>
          <w:bCs/>
          <w:sz w:val="22"/>
          <w:szCs w:val="22"/>
          <w:lang w:val="hr-HR"/>
        </w:rPr>
        <w:t xml:space="preserve"> sredstava za </w:t>
      </w:r>
      <w:r w:rsidR="00A04907" w:rsidRPr="009677CC">
        <w:rPr>
          <w:bCs/>
          <w:sz w:val="22"/>
          <w:szCs w:val="22"/>
          <w:lang w:val="hr-HR"/>
        </w:rPr>
        <w:t>60</w:t>
      </w:r>
      <w:r w:rsidRPr="009677CC">
        <w:rPr>
          <w:bCs/>
          <w:sz w:val="22"/>
          <w:szCs w:val="22"/>
          <w:lang w:val="hr-HR"/>
        </w:rPr>
        <w:t xml:space="preserve">.000,00 kn, </w:t>
      </w:r>
      <w:r w:rsidR="00A04907" w:rsidRPr="009677CC">
        <w:rPr>
          <w:bCs/>
          <w:sz w:val="22"/>
          <w:szCs w:val="22"/>
          <w:lang w:val="hr-HR"/>
        </w:rPr>
        <w:t xml:space="preserve">a odnosi se na </w:t>
      </w:r>
      <w:r w:rsidRPr="009677CC">
        <w:rPr>
          <w:bCs/>
          <w:sz w:val="22"/>
          <w:szCs w:val="22"/>
          <w:lang w:val="hr-HR"/>
        </w:rPr>
        <w:t>dodjele poticaja obrtnicima i trgovačkim društvima sukladno programu Grada.</w:t>
      </w:r>
    </w:p>
    <w:p w14:paraId="4B1109F2" w14:textId="77777777" w:rsidR="006B0945" w:rsidRPr="009677CC" w:rsidRDefault="006B0945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6057A9F8" w14:textId="61F62D7E" w:rsidR="006F1C10" w:rsidRPr="009677CC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programa Javni radovi u komunalnom gospodarstvu povećani su za 2</w:t>
      </w:r>
      <w:r w:rsidR="006B0945" w:rsidRPr="009677CC">
        <w:rPr>
          <w:bCs/>
          <w:sz w:val="22"/>
          <w:szCs w:val="22"/>
          <w:lang w:val="hr-HR"/>
        </w:rPr>
        <w:t>.200</w:t>
      </w:r>
      <w:r w:rsidRPr="009677CC">
        <w:rPr>
          <w:bCs/>
          <w:sz w:val="22"/>
          <w:szCs w:val="22"/>
          <w:lang w:val="hr-HR"/>
        </w:rPr>
        <w:t xml:space="preserve">,00 kn za javne radove, </w:t>
      </w:r>
      <w:r w:rsidR="004E7DC0" w:rsidRPr="009677CC">
        <w:rPr>
          <w:bCs/>
          <w:sz w:val="22"/>
          <w:szCs w:val="22"/>
          <w:lang w:val="hr-HR"/>
        </w:rPr>
        <w:t xml:space="preserve">a </w:t>
      </w:r>
      <w:r w:rsidR="006B0945" w:rsidRPr="009677CC">
        <w:rPr>
          <w:bCs/>
          <w:sz w:val="22"/>
          <w:szCs w:val="22"/>
          <w:lang w:val="hr-HR"/>
        </w:rPr>
        <w:t>povećanje se odnosi na projekt koji je završio pod nazivom Uredimo naše parkove</w:t>
      </w:r>
      <w:r w:rsidRPr="009677CC">
        <w:rPr>
          <w:bCs/>
          <w:sz w:val="22"/>
          <w:szCs w:val="22"/>
          <w:lang w:val="hr-HR"/>
        </w:rPr>
        <w:t xml:space="preserve">, </w:t>
      </w:r>
      <w:r w:rsidR="004E7DC0" w:rsidRPr="009677CC">
        <w:rPr>
          <w:bCs/>
          <w:sz w:val="22"/>
          <w:szCs w:val="22"/>
          <w:lang w:val="hr-HR"/>
        </w:rPr>
        <w:t>radi povećanja minimalne plaće u ovoj godini.</w:t>
      </w:r>
    </w:p>
    <w:p w14:paraId="1E2068EF" w14:textId="77777777" w:rsidR="006F1C10" w:rsidRPr="009677CC" w:rsidRDefault="006F1C1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6A6605B" w14:textId="687988D7" w:rsidR="006F1C10" w:rsidRPr="009677CC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Kapitalna ulaganja u poslovne, stambene prostore, opremu i drugo kroz EU smanjuju se za </w:t>
      </w:r>
      <w:r w:rsidR="006B0945" w:rsidRPr="009677CC">
        <w:rPr>
          <w:bCs/>
          <w:sz w:val="22"/>
          <w:szCs w:val="22"/>
          <w:lang w:val="hr-HR"/>
        </w:rPr>
        <w:t>9.179.747</w:t>
      </w:r>
      <w:r w:rsidRPr="009677CC">
        <w:rPr>
          <w:bCs/>
          <w:sz w:val="22"/>
          <w:szCs w:val="22"/>
          <w:lang w:val="hr-HR"/>
        </w:rPr>
        <w:t xml:space="preserve">,00 kn ili za </w:t>
      </w:r>
      <w:r w:rsidR="006B0945" w:rsidRPr="009677CC">
        <w:rPr>
          <w:bCs/>
          <w:sz w:val="22"/>
          <w:szCs w:val="22"/>
          <w:lang w:val="hr-HR"/>
        </w:rPr>
        <w:t>49,70</w:t>
      </w:r>
      <w:r w:rsidRPr="009677CC">
        <w:rPr>
          <w:bCs/>
          <w:sz w:val="22"/>
          <w:szCs w:val="22"/>
          <w:lang w:val="hr-HR"/>
        </w:rPr>
        <w:t xml:space="preserve">% i sada iznose </w:t>
      </w:r>
      <w:r w:rsidR="006B0945" w:rsidRPr="009677CC">
        <w:rPr>
          <w:bCs/>
          <w:sz w:val="22"/>
          <w:szCs w:val="22"/>
          <w:lang w:val="hr-HR"/>
        </w:rPr>
        <w:t>9.291.753</w:t>
      </w:r>
      <w:r w:rsidRPr="009677CC">
        <w:rPr>
          <w:bCs/>
          <w:sz w:val="22"/>
          <w:szCs w:val="22"/>
          <w:lang w:val="hr-HR"/>
        </w:rPr>
        <w:t>,00 kn. Navedena promjena odnosi se na slijedeće projekte:</w:t>
      </w:r>
    </w:p>
    <w:p w14:paraId="07FE19B4" w14:textId="11DC77F4" w:rsidR="006F1C10" w:rsidRPr="009677CC" w:rsidRDefault="006F1C1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-</w:t>
      </w:r>
      <w:r w:rsidR="009C2370" w:rsidRPr="009677CC">
        <w:rPr>
          <w:bCs/>
          <w:sz w:val="22"/>
          <w:szCs w:val="22"/>
          <w:lang w:val="hr-HR"/>
        </w:rPr>
        <w:t xml:space="preserve">Rekonstrukcija i dogradnja DRC </w:t>
      </w:r>
      <w:proofErr w:type="spellStart"/>
      <w:r w:rsidR="009C2370" w:rsidRPr="009677CC">
        <w:rPr>
          <w:bCs/>
          <w:sz w:val="22"/>
          <w:szCs w:val="22"/>
          <w:lang w:val="hr-HR"/>
        </w:rPr>
        <w:t>Vidovci</w:t>
      </w:r>
      <w:proofErr w:type="spellEnd"/>
      <w:r w:rsidR="009C2370" w:rsidRPr="009677CC">
        <w:rPr>
          <w:bCs/>
          <w:sz w:val="22"/>
          <w:szCs w:val="22"/>
          <w:lang w:val="hr-HR"/>
        </w:rPr>
        <w:t xml:space="preserve"> - smanjenje za </w:t>
      </w:r>
      <w:r w:rsidR="006B0945" w:rsidRPr="009677CC">
        <w:rPr>
          <w:bCs/>
          <w:sz w:val="22"/>
          <w:szCs w:val="22"/>
          <w:lang w:val="hr-HR"/>
        </w:rPr>
        <w:t>60</w:t>
      </w:r>
      <w:r w:rsidR="009C2370" w:rsidRPr="009677CC">
        <w:rPr>
          <w:bCs/>
          <w:sz w:val="22"/>
          <w:szCs w:val="22"/>
          <w:lang w:val="hr-HR"/>
        </w:rPr>
        <w:t>.000,00 kn</w:t>
      </w:r>
      <w:r w:rsidR="006B0945" w:rsidRPr="009677CC">
        <w:rPr>
          <w:bCs/>
          <w:sz w:val="22"/>
          <w:szCs w:val="22"/>
          <w:lang w:val="hr-HR"/>
        </w:rPr>
        <w:t>,</w:t>
      </w:r>
    </w:p>
    <w:p w14:paraId="4B3BE54A" w14:textId="7935955C" w:rsidR="009C2370" w:rsidRPr="009677CC" w:rsidRDefault="009C23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-Požeške bolte - smanjenje za </w:t>
      </w:r>
      <w:r w:rsidR="00094539" w:rsidRPr="009677CC">
        <w:rPr>
          <w:bCs/>
          <w:sz w:val="22"/>
          <w:szCs w:val="22"/>
          <w:lang w:val="hr-HR"/>
        </w:rPr>
        <w:t>8.969.747</w:t>
      </w:r>
      <w:r w:rsidRPr="009677CC">
        <w:rPr>
          <w:bCs/>
          <w:sz w:val="22"/>
          <w:szCs w:val="22"/>
          <w:lang w:val="hr-HR"/>
        </w:rPr>
        <w:t>,00 kn sukladno dinamici radova, koji će se nastaviti i produžiti u idućoj godini.</w:t>
      </w:r>
    </w:p>
    <w:p w14:paraId="76C57160" w14:textId="50DC6997" w:rsidR="009C2370" w:rsidRPr="009677CC" w:rsidRDefault="009C2370" w:rsidP="0050381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-Rekonstrukcija Trga sv. Trojstva – smanjenje za </w:t>
      </w:r>
      <w:r w:rsidR="0050381D" w:rsidRPr="009677CC">
        <w:rPr>
          <w:bCs/>
          <w:sz w:val="22"/>
          <w:szCs w:val="22"/>
          <w:lang w:val="hr-HR"/>
        </w:rPr>
        <w:t>150.00</w:t>
      </w:r>
      <w:r w:rsidRPr="009677CC">
        <w:rPr>
          <w:bCs/>
          <w:sz w:val="22"/>
          <w:szCs w:val="22"/>
          <w:lang w:val="hr-HR"/>
        </w:rPr>
        <w:t xml:space="preserve">0,00 kn </w:t>
      </w:r>
    </w:p>
    <w:p w14:paraId="32CBA3D1" w14:textId="77777777" w:rsidR="0050381D" w:rsidRPr="009677CC" w:rsidRDefault="0050381D" w:rsidP="0050381D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5A46F414" w14:textId="6278EF85" w:rsidR="009C2370" w:rsidRPr="009677CC" w:rsidRDefault="009C23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Osiguranje pomoćnika u nastavi za osobe s poteškoćama u razvoju smanjuju se za </w:t>
      </w:r>
      <w:r w:rsidR="0050381D" w:rsidRPr="009677CC">
        <w:rPr>
          <w:bCs/>
          <w:sz w:val="22"/>
          <w:szCs w:val="22"/>
          <w:lang w:val="hr-HR"/>
        </w:rPr>
        <w:t>482.700</w:t>
      </w:r>
      <w:r w:rsidRPr="009677CC">
        <w:rPr>
          <w:bCs/>
          <w:sz w:val="22"/>
          <w:szCs w:val="22"/>
          <w:lang w:val="hr-HR"/>
        </w:rPr>
        <w:t>,00 kn, a odnose na Projekt Petica za dvoje IV. faza</w:t>
      </w:r>
      <w:r w:rsidR="00FC7570" w:rsidRPr="009677CC">
        <w:rPr>
          <w:bCs/>
          <w:sz w:val="22"/>
          <w:szCs w:val="22"/>
          <w:lang w:val="hr-HR"/>
        </w:rPr>
        <w:t xml:space="preserve"> koji je </w:t>
      </w:r>
      <w:r w:rsidR="0050381D" w:rsidRPr="009677CC">
        <w:rPr>
          <w:bCs/>
          <w:sz w:val="22"/>
          <w:szCs w:val="22"/>
          <w:lang w:val="hr-HR"/>
        </w:rPr>
        <w:t>smanjen</w:t>
      </w:r>
      <w:r w:rsidR="00FC7570" w:rsidRPr="009677CC">
        <w:rPr>
          <w:bCs/>
          <w:sz w:val="22"/>
          <w:szCs w:val="22"/>
          <w:lang w:val="hr-HR"/>
        </w:rPr>
        <w:t xml:space="preserve"> sukladno projiciranim rashodima za </w:t>
      </w:r>
      <w:r w:rsidR="0050381D" w:rsidRPr="009677CC">
        <w:rPr>
          <w:bCs/>
          <w:sz w:val="22"/>
          <w:szCs w:val="22"/>
          <w:lang w:val="hr-HR"/>
        </w:rPr>
        <w:t>471.700</w:t>
      </w:r>
      <w:r w:rsidR="00FC7570" w:rsidRPr="009677CC">
        <w:rPr>
          <w:bCs/>
          <w:sz w:val="22"/>
          <w:szCs w:val="22"/>
          <w:lang w:val="hr-HR"/>
        </w:rPr>
        <w:t xml:space="preserve">,00 kn i Projekt Petica za dvoje V. faza koji je smanjen za </w:t>
      </w:r>
      <w:r w:rsidR="0050381D" w:rsidRPr="009677CC">
        <w:rPr>
          <w:bCs/>
          <w:sz w:val="22"/>
          <w:szCs w:val="22"/>
          <w:lang w:val="hr-HR"/>
        </w:rPr>
        <w:t>11.000</w:t>
      </w:r>
      <w:r w:rsidR="00FC7570" w:rsidRPr="009677CC">
        <w:rPr>
          <w:bCs/>
          <w:sz w:val="22"/>
          <w:szCs w:val="22"/>
          <w:lang w:val="hr-HR"/>
        </w:rPr>
        <w:t>,00 kn, sukladno projiciranim troškovima.</w:t>
      </w:r>
    </w:p>
    <w:p w14:paraId="4EB2C8F0" w14:textId="77777777" w:rsidR="00FC7570" w:rsidRPr="009677CC" w:rsidRDefault="00FC757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2C535FF4" w14:textId="04E55D19" w:rsidR="00FC7570" w:rsidRPr="009677CC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lastRenderedPageBreak/>
        <w:t xml:space="preserve">Rashodi programa Zaželi – zapošljavanje žena, koji se provodi kroz projekt PUK50, smanjuju se za </w:t>
      </w:r>
      <w:r w:rsidR="0050381D" w:rsidRPr="009677CC">
        <w:rPr>
          <w:bCs/>
          <w:sz w:val="22"/>
          <w:szCs w:val="22"/>
          <w:lang w:val="hr-HR"/>
        </w:rPr>
        <w:t>338.500</w:t>
      </w:r>
      <w:r w:rsidRPr="009677CC">
        <w:rPr>
          <w:bCs/>
          <w:sz w:val="22"/>
          <w:szCs w:val="22"/>
          <w:lang w:val="hr-HR"/>
        </w:rPr>
        <w:t>,00 kn sukladno projiciranim troškovima.</w:t>
      </w:r>
    </w:p>
    <w:p w14:paraId="7A7529CD" w14:textId="77777777" w:rsidR="00FC7570" w:rsidRPr="009677CC" w:rsidRDefault="00FC757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345E3ECD" w14:textId="2923D8F8" w:rsidR="00FC7570" w:rsidRPr="009677CC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Unapređenja usluga za djecu u sustavu ranog i predškolskog odgoja koji se provode kroz projekt Požeški </w:t>
      </w:r>
      <w:proofErr w:type="spellStart"/>
      <w:r w:rsidRPr="009677CC">
        <w:rPr>
          <w:bCs/>
          <w:sz w:val="22"/>
          <w:szCs w:val="22"/>
          <w:lang w:val="hr-HR"/>
        </w:rPr>
        <w:t>limači</w:t>
      </w:r>
      <w:proofErr w:type="spellEnd"/>
      <w:r w:rsidRPr="009677CC">
        <w:rPr>
          <w:bCs/>
          <w:sz w:val="22"/>
          <w:szCs w:val="22"/>
          <w:lang w:val="hr-HR"/>
        </w:rPr>
        <w:t xml:space="preserve"> i Požeški </w:t>
      </w:r>
      <w:proofErr w:type="spellStart"/>
      <w:r w:rsidRPr="009677CC">
        <w:rPr>
          <w:bCs/>
          <w:sz w:val="22"/>
          <w:szCs w:val="22"/>
          <w:lang w:val="hr-HR"/>
        </w:rPr>
        <w:t>limači</w:t>
      </w:r>
      <w:proofErr w:type="spellEnd"/>
      <w:r w:rsidRPr="009677CC">
        <w:rPr>
          <w:bCs/>
          <w:sz w:val="22"/>
          <w:szCs w:val="22"/>
          <w:lang w:val="hr-HR"/>
        </w:rPr>
        <w:t xml:space="preserve"> II. smanjuje se za </w:t>
      </w:r>
      <w:r w:rsidR="0050381D" w:rsidRPr="009677CC">
        <w:rPr>
          <w:bCs/>
          <w:sz w:val="22"/>
          <w:szCs w:val="22"/>
          <w:lang w:val="hr-HR"/>
        </w:rPr>
        <w:t>381.000</w:t>
      </w:r>
      <w:r w:rsidRPr="009677CC">
        <w:rPr>
          <w:bCs/>
          <w:sz w:val="22"/>
          <w:szCs w:val="22"/>
          <w:lang w:val="hr-HR"/>
        </w:rPr>
        <w:t>,00 kn</w:t>
      </w:r>
      <w:r w:rsidR="000F6102" w:rsidRPr="009677CC">
        <w:rPr>
          <w:bCs/>
          <w:sz w:val="22"/>
          <w:szCs w:val="22"/>
          <w:lang w:val="hr-HR"/>
        </w:rPr>
        <w:t>, budući da je prva faza projekta završena, a nije krenula II.</w:t>
      </w:r>
    </w:p>
    <w:p w14:paraId="4EE5DF6F" w14:textId="77777777" w:rsidR="00FC7570" w:rsidRPr="009677CC" w:rsidRDefault="00FC757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63B984B5" w14:textId="5E92A978" w:rsidR="00FC7570" w:rsidRPr="009677CC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Nabava spremnika za odvojeno prikupljanje komunalnog otpada planiraju se kroz dva projekta u suradnji sa Fondom za zaštitu okoliša i Komunalcem Požega. Rashodi se </w:t>
      </w:r>
      <w:r w:rsidR="0050381D" w:rsidRPr="009677CC">
        <w:rPr>
          <w:bCs/>
          <w:sz w:val="22"/>
          <w:szCs w:val="22"/>
          <w:lang w:val="hr-HR"/>
        </w:rPr>
        <w:t>smanjuju</w:t>
      </w:r>
      <w:r w:rsidRPr="009677CC">
        <w:rPr>
          <w:bCs/>
          <w:sz w:val="22"/>
          <w:szCs w:val="22"/>
          <w:lang w:val="hr-HR"/>
        </w:rPr>
        <w:t xml:space="preserve"> za 4</w:t>
      </w:r>
      <w:r w:rsidR="0050381D" w:rsidRPr="009677CC">
        <w:rPr>
          <w:bCs/>
          <w:sz w:val="22"/>
          <w:szCs w:val="22"/>
          <w:lang w:val="hr-HR"/>
        </w:rPr>
        <w:t>02</w:t>
      </w:r>
      <w:r w:rsidRPr="009677CC">
        <w:rPr>
          <w:bCs/>
          <w:sz w:val="22"/>
          <w:szCs w:val="22"/>
          <w:lang w:val="hr-HR"/>
        </w:rPr>
        <w:t>.000,00 kn</w:t>
      </w:r>
      <w:r w:rsidR="000F6102" w:rsidRPr="009677CC">
        <w:rPr>
          <w:bCs/>
          <w:sz w:val="22"/>
          <w:szCs w:val="22"/>
          <w:lang w:val="hr-HR"/>
        </w:rPr>
        <w:t>, jer se dio planira u idućoj godini, a dio smanjenja je zbog uštede u troškovima podjele spremnika.</w:t>
      </w:r>
    </w:p>
    <w:p w14:paraId="736BCCE0" w14:textId="77777777" w:rsidR="00FC7570" w:rsidRPr="009677CC" w:rsidRDefault="00FC7570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65182EE2" w14:textId="6F4C5185" w:rsidR="00FC7570" w:rsidRPr="009677CC" w:rsidRDefault="00FC7570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</w:t>
      </w:r>
      <w:r w:rsidR="00C16A18" w:rsidRPr="009677CC">
        <w:rPr>
          <w:bCs/>
          <w:sz w:val="22"/>
          <w:szCs w:val="22"/>
          <w:lang w:val="hr-HR"/>
        </w:rPr>
        <w:t xml:space="preserve">hodi programa Školske prehrane </w:t>
      </w:r>
      <w:r w:rsidR="0050381D" w:rsidRPr="009677CC">
        <w:rPr>
          <w:bCs/>
          <w:sz w:val="22"/>
          <w:szCs w:val="22"/>
          <w:lang w:val="hr-HR"/>
        </w:rPr>
        <w:t>smanjuju</w:t>
      </w:r>
      <w:r w:rsidR="00C16A18" w:rsidRPr="009677CC">
        <w:rPr>
          <w:bCs/>
          <w:sz w:val="22"/>
          <w:szCs w:val="22"/>
          <w:lang w:val="hr-HR"/>
        </w:rPr>
        <w:t xml:space="preserve"> se za </w:t>
      </w:r>
      <w:r w:rsidR="0050381D" w:rsidRPr="009677CC">
        <w:rPr>
          <w:bCs/>
          <w:sz w:val="22"/>
          <w:szCs w:val="22"/>
          <w:lang w:val="hr-HR"/>
        </w:rPr>
        <w:t>527.000</w:t>
      </w:r>
      <w:r w:rsidR="00C16A18" w:rsidRPr="009677CC">
        <w:rPr>
          <w:bCs/>
          <w:sz w:val="22"/>
          <w:szCs w:val="22"/>
          <w:lang w:val="hr-HR"/>
        </w:rPr>
        <w:t>,00 kn za projekte Naša školska užina II i III</w:t>
      </w:r>
      <w:r w:rsidR="000F6102" w:rsidRPr="009677CC">
        <w:rPr>
          <w:bCs/>
          <w:sz w:val="22"/>
          <w:szCs w:val="22"/>
          <w:lang w:val="hr-HR"/>
        </w:rPr>
        <w:t>, jer se dio planira u idućoj godini.</w:t>
      </w:r>
    </w:p>
    <w:p w14:paraId="2C9EC41C" w14:textId="77777777" w:rsidR="00C16A18" w:rsidRPr="009677CC" w:rsidRDefault="00C16A1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725730C9" w14:textId="51ECDA40" w:rsidR="00C16A18" w:rsidRPr="009677CC" w:rsidRDefault="00C16A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Ulaganje u partnerska područja Požega – Kreševo </w:t>
      </w:r>
      <w:r w:rsidR="00FB7DB2" w:rsidRPr="009677CC">
        <w:rPr>
          <w:bCs/>
          <w:sz w:val="22"/>
          <w:szCs w:val="22"/>
          <w:lang w:val="hr-HR"/>
        </w:rPr>
        <w:t>smanjeni</w:t>
      </w:r>
      <w:r w:rsidRPr="009677CC">
        <w:rPr>
          <w:bCs/>
          <w:sz w:val="22"/>
          <w:szCs w:val="22"/>
          <w:lang w:val="hr-HR"/>
        </w:rPr>
        <w:t xml:space="preserve"> su </w:t>
      </w:r>
      <w:r w:rsidR="00FB7DB2" w:rsidRPr="009677CC">
        <w:rPr>
          <w:bCs/>
          <w:sz w:val="22"/>
          <w:szCs w:val="22"/>
          <w:lang w:val="hr-HR"/>
        </w:rPr>
        <w:t>za</w:t>
      </w:r>
      <w:r w:rsidRPr="009677CC">
        <w:rPr>
          <w:bCs/>
          <w:sz w:val="22"/>
          <w:szCs w:val="22"/>
          <w:lang w:val="hr-HR"/>
        </w:rPr>
        <w:t xml:space="preserve"> 230.000,00 kn</w:t>
      </w:r>
      <w:r w:rsidR="000F6102" w:rsidRPr="009677CC">
        <w:rPr>
          <w:bCs/>
          <w:sz w:val="22"/>
          <w:szCs w:val="22"/>
          <w:lang w:val="hr-HR"/>
        </w:rPr>
        <w:t>, jer se planira nastavak projekta u idućoj godini</w:t>
      </w:r>
      <w:r w:rsidR="00FB7DB2" w:rsidRPr="009677CC">
        <w:rPr>
          <w:bCs/>
          <w:sz w:val="22"/>
          <w:szCs w:val="22"/>
          <w:lang w:val="hr-HR"/>
        </w:rPr>
        <w:t>.</w:t>
      </w:r>
    </w:p>
    <w:p w14:paraId="3F9B1D7C" w14:textId="77777777" w:rsidR="00C16A18" w:rsidRPr="009677CC" w:rsidRDefault="00C16A1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45670F7F" w14:textId="5832174F" w:rsidR="00C16A18" w:rsidRPr="009677CC" w:rsidRDefault="00C16A1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Čitam </w:t>
      </w:r>
      <w:r w:rsidR="00FB7DB2" w:rsidRPr="009677CC">
        <w:rPr>
          <w:bCs/>
          <w:sz w:val="22"/>
          <w:szCs w:val="22"/>
          <w:lang w:val="hr-HR"/>
        </w:rPr>
        <w:t>smanjeni su za svih planiranih 88.000,00 kn iz razloga što neće biti realiziran u ovoj godini.</w:t>
      </w:r>
    </w:p>
    <w:p w14:paraId="6F84474A" w14:textId="33664C65" w:rsidR="00FB7DB2" w:rsidRPr="009677CC" w:rsidRDefault="00C16A18" w:rsidP="00FB7DB2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programa Zdravi odabir </w:t>
      </w:r>
      <w:r w:rsidR="00FB7DB2" w:rsidRPr="009677CC">
        <w:rPr>
          <w:bCs/>
          <w:sz w:val="22"/>
          <w:szCs w:val="22"/>
          <w:lang w:val="hr-HR"/>
        </w:rPr>
        <w:t>smanjeni su za svih planiranih 150.000,00 kn iz razloga što neće biti realiziran u ovoj godini.</w:t>
      </w:r>
    </w:p>
    <w:p w14:paraId="26596BD1" w14:textId="40AFCAA2" w:rsidR="00C16A18" w:rsidRPr="009677CC" w:rsidRDefault="00C16A18" w:rsidP="00FB7DB2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</w:p>
    <w:p w14:paraId="073F5504" w14:textId="13351ADA" w:rsidR="00A1126D" w:rsidRPr="009677CC" w:rsidRDefault="00C16A18" w:rsidP="00FB7DB2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 xml:space="preserve">Rashodi proračunskog korisnika Javne vatrogasne postrojbe Grada Požege povećani su za </w:t>
      </w:r>
      <w:r w:rsidR="00FB7DB2" w:rsidRPr="009677CC">
        <w:rPr>
          <w:bCs/>
          <w:sz w:val="22"/>
          <w:szCs w:val="22"/>
          <w:lang w:val="hr-HR"/>
        </w:rPr>
        <w:t>20.930</w:t>
      </w:r>
      <w:r w:rsidRPr="009677CC">
        <w:rPr>
          <w:bCs/>
          <w:sz w:val="22"/>
          <w:szCs w:val="22"/>
          <w:lang w:val="hr-HR"/>
        </w:rPr>
        <w:t xml:space="preserve">,00 kn ili za </w:t>
      </w:r>
      <w:r w:rsidR="00FB7DB2" w:rsidRPr="009677CC">
        <w:rPr>
          <w:bCs/>
          <w:sz w:val="22"/>
          <w:szCs w:val="22"/>
          <w:lang w:val="hr-HR"/>
        </w:rPr>
        <w:t>0,44</w:t>
      </w:r>
      <w:r w:rsidRPr="009677CC">
        <w:rPr>
          <w:bCs/>
          <w:sz w:val="22"/>
          <w:szCs w:val="22"/>
          <w:lang w:val="hr-HR"/>
        </w:rPr>
        <w:t>% i sada iznose 4.7</w:t>
      </w:r>
      <w:r w:rsidR="00FB7DB2" w:rsidRPr="009677CC">
        <w:rPr>
          <w:bCs/>
          <w:sz w:val="22"/>
          <w:szCs w:val="22"/>
          <w:lang w:val="hr-HR"/>
        </w:rPr>
        <w:t>63.312</w:t>
      </w:r>
      <w:r w:rsidRPr="009677CC">
        <w:rPr>
          <w:bCs/>
          <w:sz w:val="22"/>
          <w:szCs w:val="22"/>
          <w:lang w:val="hr-HR"/>
        </w:rPr>
        <w:t>,00 kn. Sredstva iz zakonskog standarda usklađena su sa aktualnom odlukom Vlade RH. Kroz druga povećanja osigurana su sredstva iznad zakonskog standarda za plaće i naknade vatrogasaca, te za prekovremeni rad, sukladno važećem kolektivnom ugovoru.</w:t>
      </w:r>
      <w:r w:rsidR="00A1126D" w:rsidRPr="009677CC">
        <w:rPr>
          <w:bCs/>
          <w:sz w:val="22"/>
          <w:szCs w:val="22"/>
          <w:lang w:val="hr-HR"/>
        </w:rPr>
        <w:t xml:space="preserve"> </w:t>
      </w:r>
    </w:p>
    <w:p w14:paraId="46C1E9E2" w14:textId="73A9F2BF" w:rsidR="00A1126D" w:rsidRPr="009677CC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proračunskog korisnika Lokalna razvojna agencija Požega smanjuju se za 2</w:t>
      </w:r>
      <w:r w:rsidR="00FB7DB2" w:rsidRPr="009677CC">
        <w:rPr>
          <w:bCs/>
          <w:sz w:val="22"/>
          <w:szCs w:val="22"/>
          <w:lang w:val="hr-HR"/>
        </w:rPr>
        <w:t>65.605</w:t>
      </w:r>
      <w:r w:rsidRPr="009677CC">
        <w:rPr>
          <w:bCs/>
          <w:sz w:val="22"/>
          <w:szCs w:val="22"/>
          <w:lang w:val="hr-HR"/>
        </w:rPr>
        <w:t>,00 kn ili za 1</w:t>
      </w:r>
      <w:r w:rsidR="00FB7DB2" w:rsidRPr="009677CC">
        <w:rPr>
          <w:bCs/>
          <w:sz w:val="22"/>
          <w:szCs w:val="22"/>
          <w:lang w:val="hr-HR"/>
        </w:rPr>
        <w:t>6,79</w:t>
      </w:r>
      <w:r w:rsidRPr="009677CC">
        <w:rPr>
          <w:bCs/>
          <w:sz w:val="22"/>
          <w:szCs w:val="22"/>
          <w:lang w:val="hr-HR"/>
        </w:rPr>
        <w:t>%. Rashodi se smanjuju radi usklađenja sa potrebnim rashodima do kraja godine, kolektivnim ugovorom, rashodima za djelatnike do kraja godine</w:t>
      </w:r>
      <w:r w:rsidR="00FB7DB2" w:rsidRPr="009677CC">
        <w:rPr>
          <w:bCs/>
          <w:sz w:val="22"/>
          <w:szCs w:val="22"/>
          <w:lang w:val="hr-HR"/>
        </w:rPr>
        <w:t xml:space="preserve">. </w:t>
      </w:r>
    </w:p>
    <w:p w14:paraId="4A1B1470" w14:textId="77777777" w:rsidR="00A1126D" w:rsidRPr="009677CC" w:rsidRDefault="00A1126D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0BEBFB5C" w14:textId="7F2E2689" w:rsidR="00A1126D" w:rsidRPr="009677CC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razdjela Upravni odjel za imovinsko-pravne poslove</w:t>
      </w:r>
      <w:r w:rsidR="00337F1E" w:rsidRPr="009677CC">
        <w:rPr>
          <w:bCs/>
          <w:sz w:val="22"/>
          <w:szCs w:val="22"/>
          <w:lang w:val="hr-HR"/>
        </w:rPr>
        <w:t xml:space="preserve"> - razdjel 005</w:t>
      </w:r>
      <w:r w:rsidRPr="009677CC">
        <w:rPr>
          <w:bCs/>
          <w:sz w:val="22"/>
          <w:szCs w:val="22"/>
          <w:lang w:val="hr-HR"/>
        </w:rPr>
        <w:t xml:space="preserve"> </w:t>
      </w:r>
      <w:r w:rsidR="00FB7DB2" w:rsidRPr="009677CC">
        <w:rPr>
          <w:bCs/>
          <w:sz w:val="22"/>
          <w:szCs w:val="22"/>
          <w:lang w:val="hr-HR"/>
        </w:rPr>
        <w:t xml:space="preserve">smanjeni </w:t>
      </w:r>
      <w:r w:rsidRPr="009677CC">
        <w:rPr>
          <w:bCs/>
          <w:sz w:val="22"/>
          <w:szCs w:val="22"/>
          <w:lang w:val="hr-HR"/>
        </w:rPr>
        <w:t xml:space="preserve"> su u iznosu </w:t>
      </w:r>
      <w:r w:rsidR="00FB7DB2" w:rsidRPr="009677CC">
        <w:rPr>
          <w:bCs/>
          <w:sz w:val="22"/>
          <w:szCs w:val="22"/>
          <w:lang w:val="hr-HR"/>
        </w:rPr>
        <w:t>252.000</w:t>
      </w:r>
      <w:r w:rsidRPr="009677CC">
        <w:rPr>
          <w:bCs/>
          <w:sz w:val="22"/>
          <w:szCs w:val="22"/>
          <w:lang w:val="hr-HR"/>
        </w:rPr>
        <w:t>,00 kn</w:t>
      </w:r>
      <w:r w:rsidR="00061962" w:rsidRPr="009677CC">
        <w:rPr>
          <w:bCs/>
          <w:sz w:val="22"/>
          <w:szCs w:val="22"/>
          <w:lang w:val="hr-HR"/>
        </w:rPr>
        <w:t xml:space="preserve"> ili za 66,23 % i iznose 128.500,00, odnose se</w:t>
      </w:r>
      <w:r w:rsidRPr="009677CC">
        <w:rPr>
          <w:bCs/>
          <w:sz w:val="22"/>
          <w:szCs w:val="22"/>
          <w:lang w:val="hr-HR"/>
        </w:rPr>
        <w:t xml:space="preserve"> za početak rada tog upravnog odjela i procjenu troškova</w:t>
      </w:r>
      <w:r w:rsidR="00C256B3" w:rsidRPr="009677CC">
        <w:rPr>
          <w:bCs/>
          <w:sz w:val="22"/>
          <w:szCs w:val="22"/>
          <w:lang w:val="hr-HR"/>
        </w:rPr>
        <w:t xml:space="preserve"> na ishođenju potvrda, sudskih, javnobilježničkih, odvjetničkih i drugih troškova, ostalih nespomenutih troškova i eventualnih kamata po sudskim postupcima</w:t>
      </w:r>
      <w:r w:rsidRPr="009677CC">
        <w:rPr>
          <w:bCs/>
          <w:sz w:val="22"/>
          <w:szCs w:val="22"/>
          <w:lang w:val="hr-HR"/>
        </w:rPr>
        <w:t>.</w:t>
      </w:r>
    </w:p>
    <w:p w14:paraId="7716B6C2" w14:textId="77777777" w:rsidR="00A1126D" w:rsidRPr="009677CC" w:rsidRDefault="00A1126D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48064CAE" w14:textId="5590D160" w:rsidR="00A1126D" w:rsidRPr="009677CC" w:rsidRDefault="00A1126D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Rashodi razdjela Upravni odjel za proračun i financije</w:t>
      </w:r>
      <w:r w:rsidR="00F70E7F" w:rsidRPr="009677CC">
        <w:rPr>
          <w:bCs/>
          <w:sz w:val="22"/>
          <w:szCs w:val="22"/>
          <w:lang w:val="hr-HR"/>
        </w:rPr>
        <w:t xml:space="preserve"> - razdjel 006</w:t>
      </w:r>
      <w:r w:rsidRPr="009677CC">
        <w:rPr>
          <w:bCs/>
          <w:sz w:val="22"/>
          <w:szCs w:val="22"/>
          <w:lang w:val="hr-HR"/>
        </w:rPr>
        <w:t xml:space="preserve"> </w:t>
      </w:r>
      <w:r w:rsidR="00BC2F98" w:rsidRPr="009677CC">
        <w:rPr>
          <w:bCs/>
          <w:sz w:val="22"/>
          <w:szCs w:val="22"/>
          <w:lang w:val="hr-HR"/>
        </w:rPr>
        <w:t>povećani su</w:t>
      </w:r>
      <w:r w:rsidRPr="009677CC">
        <w:rPr>
          <w:bCs/>
          <w:sz w:val="22"/>
          <w:szCs w:val="22"/>
          <w:lang w:val="hr-HR"/>
        </w:rPr>
        <w:t xml:space="preserve"> u iznosu </w:t>
      </w:r>
      <w:r w:rsidR="00BC2F98" w:rsidRPr="009677CC">
        <w:rPr>
          <w:bCs/>
          <w:sz w:val="22"/>
          <w:szCs w:val="22"/>
          <w:lang w:val="hr-HR"/>
        </w:rPr>
        <w:t>59.700</w:t>
      </w:r>
      <w:r w:rsidRPr="009677CC">
        <w:rPr>
          <w:bCs/>
          <w:sz w:val="22"/>
          <w:szCs w:val="22"/>
          <w:lang w:val="hr-HR"/>
        </w:rPr>
        <w:t>,</w:t>
      </w:r>
      <w:r w:rsidR="00261FA3" w:rsidRPr="009677CC">
        <w:rPr>
          <w:bCs/>
          <w:sz w:val="22"/>
          <w:szCs w:val="22"/>
          <w:lang w:val="hr-HR"/>
        </w:rPr>
        <w:t xml:space="preserve">00 kn, a prenijeti su </w:t>
      </w:r>
      <w:r w:rsidRPr="009677CC">
        <w:rPr>
          <w:bCs/>
          <w:sz w:val="22"/>
          <w:szCs w:val="22"/>
          <w:lang w:val="hr-HR"/>
        </w:rPr>
        <w:t>iz dosadašnje</w:t>
      </w:r>
      <w:r w:rsidR="00BC2F98" w:rsidRPr="009677CC">
        <w:rPr>
          <w:bCs/>
          <w:sz w:val="22"/>
          <w:szCs w:val="22"/>
          <w:lang w:val="hr-HR"/>
        </w:rPr>
        <w:t>g</w:t>
      </w:r>
      <w:r w:rsidRPr="009677CC">
        <w:rPr>
          <w:bCs/>
          <w:sz w:val="22"/>
          <w:szCs w:val="22"/>
          <w:lang w:val="hr-HR"/>
        </w:rPr>
        <w:t xml:space="preserve"> razdjela Upravni odjel za financije. Kroz ovaj razdjel planirani su rashodi za redovnu djelatnost upravnih tijela, troškovi za plaće i naknade plaća</w:t>
      </w:r>
      <w:r w:rsidR="0089393C" w:rsidRPr="009677CC">
        <w:rPr>
          <w:bCs/>
          <w:sz w:val="22"/>
          <w:szCs w:val="22"/>
          <w:lang w:val="hr-HR"/>
        </w:rPr>
        <w:t>, materijalna prava zaposlenih</w:t>
      </w:r>
      <w:r w:rsidRPr="009677CC">
        <w:rPr>
          <w:bCs/>
          <w:sz w:val="22"/>
          <w:szCs w:val="22"/>
          <w:lang w:val="hr-HR"/>
        </w:rPr>
        <w:t>, za pojedine materijalne troškove i usluge platnog prometa, rashodi za tekuću zalihu proračuna koja je ostala u istoj visini i za otplate primljenih zajmova za postojeće kredite.</w:t>
      </w:r>
    </w:p>
    <w:p w14:paraId="1EE56487" w14:textId="77777777" w:rsidR="007C29D8" w:rsidRPr="009677CC" w:rsidRDefault="007C29D8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614E5E64" w14:textId="0563A864" w:rsidR="007C29D8" w:rsidRPr="009677CC" w:rsidRDefault="007C29D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IV ZAVRŠNE ODREDBE</w:t>
      </w:r>
    </w:p>
    <w:p w14:paraId="5B3FABF7" w14:textId="77777777" w:rsidR="007E7176" w:rsidRPr="009677CC" w:rsidRDefault="007E7176" w:rsidP="006B2459">
      <w:pPr>
        <w:autoSpaceDE w:val="0"/>
        <w:jc w:val="both"/>
        <w:rPr>
          <w:bCs/>
          <w:sz w:val="22"/>
          <w:szCs w:val="22"/>
          <w:lang w:val="hr-HR"/>
        </w:rPr>
      </w:pPr>
    </w:p>
    <w:p w14:paraId="168809E2" w14:textId="335FA7A0" w:rsidR="007C29D8" w:rsidRPr="009677CC" w:rsidRDefault="007C29D8" w:rsidP="006B2459">
      <w:pPr>
        <w:autoSpaceDE w:val="0"/>
        <w:ind w:firstLine="720"/>
        <w:jc w:val="both"/>
        <w:rPr>
          <w:bCs/>
          <w:sz w:val="22"/>
          <w:szCs w:val="22"/>
          <w:lang w:val="hr-HR"/>
        </w:rPr>
      </w:pPr>
      <w:r w:rsidRPr="009677CC">
        <w:rPr>
          <w:bCs/>
          <w:sz w:val="22"/>
          <w:szCs w:val="22"/>
          <w:lang w:val="hr-HR"/>
        </w:rPr>
        <w:t>Detaljnije obrazloženje predloženih izmjena rashoda i izdataka razvidno je iz predloženih izmjena i dopuna programa rada upravnih tijela Grada Požege za 2021. godinu, izmjena i dopuna programa javnih potreba, programa održavanja i gradnje komunalne infrastrukture i izmjena i dopuna plana razvojnih programa za 2021. godinu.</w:t>
      </w:r>
    </w:p>
    <w:sectPr w:rsidR="007C29D8" w:rsidRPr="009677CC" w:rsidSect="009677C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3C0E" w14:textId="77777777" w:rsidR="00E21BA1" w:rsidRDefault="00E21BA1">
      <w:r>
        <w:separator/>
      </w:r>
    </w:p>
  </w:endnote>
  <w:endnote w:type="continuationSeparator" w:id="0">
    <w:p w14:paraId="33FFD438" w14:textId="77777777" w:rsidR="00E21BA1" w:rsidRDefault="00E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5027"/>
      <w:docPartObj>
        <w:docPartGallery w:val="Page Numbers (Bottom of Page)"/>
        <w:docPartUnique/>
      </w:docPartObj>
    </w:sdtPr>
    <w:sdtEndPr/>
    <w:sdtContent>
      <w:p w14:paraId="05260E18" w14:textId="268FECCC" w:rsidR="007540B6" w:rsidRDefault="007540B6" w:rsidP="007E7176">
        <w:pPr>
          <w:pStyle w:val="Footer"/>
          <w:jc w:val="right"/>
        </w:pPr>
        <w:r>
          <w:rPr>
            <w:noProof/>
            <w:lang w:val="hr-HR"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6EACB7" wp14:editId="54EAF7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4CCBC" w14:textId="77777777" w:rsidR="007540B6" w:rsidRPr="007E7176" w:rsidRDefault="007540B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="00B635D8" w:rsidRPr="00B635D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10</w:t>
                                </w:r>
                                <w:r w:rsidRPr="007E717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546EACB7" id="Group 1" o:spid="_x0000_s1027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4E4CCBC" w14:textId="77777777" w:rsidR="007540B6" w:rsidRPr="007E7176" w:rsidRDefault="007540B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7E7176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635D8" w:rsidRPr="00B635D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10</w:t>
                          </w:r>
                          <w:r w:rsidRPr="007E717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6970" w14:textId="77777777" w:rsidR="00E21BA1" w:rsidRDefault="00E21BA1">
      <w:r>
        <w:separator/>
      </w:r>
    </w:p>
  </w:footnote>
  <w:footnote w:type="continuationSeparator" w:id="0">
    <w:p w14:paraId="7E81801E" w14:textId="77777777" w:rsidR="00E21BA1" w:rsidRDefault="00E2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A167" w14:textId="31824731" w:rsidR="009677CC" w:rsidRPr="009677CC" w:rsidRDefault="009677CC" w:rsidP="009677CC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  <w:lang w:eastAsia="hr-HR"/>
      </w:rPr>
    </w:pPr>
    <w:bookmarkStart w:id="2" w:name="_Hlk89882160"/>
    <w:bookmarkStart w:id="3" w:name="_Hlk89882161"/>
    <w:bookmarkStart w:id="4" w:name="_Hlk89882626"/>
    <w:bookmarkStart w:id="5" w:name="_Hlk89882627"/>
    <w:r w:rsidRPr="009677CC">
      <w:rPr>
        <w:rFonts w:ascii="Calibri" w:hAnsi="Calibri" w:cs="Calibri"/>
        <w:sz w:val="20"/>
        <w:u w:val="single"/>
        <w:lang w:eastAsia="hr-HR"/>
      </w:rPr>
      <w:t xml:space="preserve">7. </w:t>
    </w:r>
    <w:proofErr w:type="spellStart"/>
    <w:r w:rsidRPr="009677CC">
      <w:rPr>
        <w:rFonts w:ascii="Calibri" w:hAnsi="Calibri" w:cs="Calibri"/>
        <w:sz w:val="20"/>
        <w:u w:val="single"/>
        <w:lang w:eastAsia="hr-HR"/>
      </w:rPr>
      <w:t>sjednica</w:t>
    </w:r>
    <w:proofErr w:type="spellEnd"/>
    <w:r w:rsidRPr="009677CC">
      <w:rPr>
        <w:rFonts w:ascii="Calibri" w:hAnsi="Calibri" w:cs="Calibri"/>
        <w:sz w:val="20"/>
        <w:u w:val="single"/>
        <w:lang w:eastAsia="hr-HR"/>
      </w:rPr>
      <w:t xml:space="preserve"> </w:t>
    </w:r>
    <w:proofErr w:type="spellStart"/>
    <w:r w:rsidRPr="009677CC">
      <w:rPr>
        <w:rFonts w:ascii="Calibri" w:hAnsi="Calibri" w:cs="Calibri"/>
        <w:sz w:val="20"/>
        <w:u w:val="single"/>
        <w:lang w:eastAsia="hr-HR"/>
      </w:rPr>
      <w:t>Gradskog</w:t>
    </w:r>
    <w:proofErr w:type="spellEnd"/>
    <w:r w:rsidRPr="009677CC">
      <w:rPr>
        <w:rFonts w:ascii="Calibri" w:hAnsi="Calibri" w:cs="Calibri"/>
        <w:sz w:val="20"/>
        <w:u w:val="single"/>
        <w:lang w:eastAsia="hr-HR"/>
      </w:rPr>
      <w:t xml:space="preserve"> </w:t>
    </w:r>
    <w:proofErr w:type="spellStart"/>
    <w:r w:rsidRPr="009677CC">
      <w:rPr>
        <w:rFonts w:ascii="Calibri" w:hAnsi="Calibri" w:cs="Calibri"/>
        <w:sz w:val="20"/>
        <w:u w:val="single"/>
        <w:lang w:eastAsia="hr-HR"/>
      </w:rPr>
      <w:t>vijeća</w:t>
    </w:r>
    <w:proofErr w:type="spellEnd"/>
    <w:r w:rsidRPr="009677CC">
      <w:rPr>
        <w:rFonts w:ascii="Calibri" w:hAnsi="Calibri" w:cs="Calibri"/>
        <w:sz w:val="20"/>
        <w:u w:val="single"/>
        <w:lang w:eastAsia="hr-HR"/>
      </w:rPr>
      <w:tab/>
    </w:r>
    <w:r w:rsidRPr="009677CC">
      <w:rPr>
        <w:rFonts w:ascii="Calibri" w:hAnsi="Calibri" w:cs="Calibri"/>
        <w:sz w:val="20"/>
        <w:u w:val="single"/>
        <w:lang w:eastAsia="hr-HR"/>
      </w:rPr>
      <w:tab/>
    </w:r>
    <w:proofErr w:type="spellStart"/>
    <w:r w:rsidRPr="009677CC">
      <w:rPr>
        <w:rFonts w:ascii="Calibri" w:hAnsi="Calibri" w:cs="Calibri"/>
        <w:sz w:val="20"/>
        <w:u w:val="single"/>
        <w:lang w:eastAsia="hr-HR"/>
      </w:rPr>
      <w:t>prosinac</w:t>
    </w:r>
    <w:proofErr w:type="spellEnd"/>
    <w:r w:rsidRPr="009677CC">
      <w:rPr>
        <w:rFonts w:ascii="Calibri" w:hAnsi="Calibri" w:cs="Calibri"/>
        <w:sz w:val="20"/>
        <w:u w:val="single"/>
        <w:lang w:eastAsia="hr-HR"/>
      </w:rPr>
      <w:t>, 2021.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Cs w:val="24"/>
        <w:lang w:val="hr-HR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  <w:lang w:val="hr-HR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9" w15:restartNumberingAfterBreak="0">
    <w:nsid w:val="0000000C"/>
    <w:multiLevelType w:val="multilevel"/>
    <w:tmpl w:val="1BCA9700"/>
    <w:name w:val="WW8Num1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7" w15:restartNumberingAfterBreak="0">
    <w:nsid w:val="00000019"/>
    <w:multiLevelType w:val="multilevel"/>
    <w:tmpl w:val="00000019"/>
    <w:name w:val="WW8Num32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A570A4"/>
    <w:multiLevelType w:val="hybridMultilevel"/>
    <w:tmpl w:val="2E887DDA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96172F"/>
    <w:multiLevelType w:val="hybridMultilevel"/>
    <w:tmpl w:val="734E16B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13B87"/>
    <w:multiLevelType w:val="hybridMultilevel"/>
    <w:tmpl w:val="8DEE8C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1555E5"/>
    <w:multiLevelType w:val="hybridMultilevel"/>
    <w:tmpl w:val="0024AD4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1075A0"/>
    <w:multiLevelType w:val="hybridMultilevel"/>
    <w:tmpl w:val="908E1D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4C40B7"/>
    <w:multiLevelType w:val="hybridMultilevel"/>
    <w:tmpl w:val="E5C2D650"/>
    <w:lvl w:ilvl="0" w:tplc="879615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A2F3CC3"/>
    <w:multiLevelType w:val="hybridMultilevel"/>
    <w:tmpl w:val="7E68DC3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F56B93"/>
    <w:multiLevelType w:val="hybridMultilevel"/>
    <w:tmpl w:val="7802812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315FD"/>
    <w:multiLevelType w:val="multilevel"/>
    <w:tmpl w:val="A16C5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32" w15:restartNumberingAfterBreak="0">
    <w:nsid w:val="20A460D7"/>
    <w:multiLevelType w:val="hybridMultilevel"/>
    <w:tmpl w:val="470AAA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03FEF"/>
    <w:multiLevelType w:val="multilevel"/>
    <w:tmpl w:val="D56C3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35442DC6"/>
    <w:multiLevelType w:val="hybridMultilevel"/>
    <w:tmpl w:val="6C64D9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9471BD1"/>
    <w:multiLevelType w:val="hybridMultilevel"/>
    <w:tmpl w:val="9C6685E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4B6946D2"/>
    <w:multiLevelType w:val="hybridMultilevel"/>
    <w:tmpl w:val="F6B62F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5F0F92"/>
    <w:multiLevelType w:val="hybridMultilevel"/>
    <w:tmpl w:val="0AC20552"/>
    <w:lvl w:ilvl="0" w:tplc="1B26F8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C790EC7"/>
    <w:multiLevelType w:val="hybridMultilevel"/>
    <w:tmpl w:val="1C9E5F9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6652B"/>
    <w:multiLevelType w:val="hybridMultilevel"/>
    <w:tmpl w:val="F3EC4B9C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A4A80"/>
    <w:multiLevelType w:val="hybridMultilevel"/>
    <w:tmpl w:val="C3F8B2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3F42D9"/>
    <w:multiLevelType w:val="hybridMultilevel"/>
    <w:tmpl w:val="8C503FD4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543BF4"/>
    <w:multiLevelType w:val="hybridMultilevel"/>
    <w:tmpl w:val="9A44C2B0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651C5"/>
    <w:multiLevelType w:val="hybridMultilevel"/>
    <w:tmpl w:val="30F6A20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E379E5"/>
    <w:multiLevelType w:val="hybridMultilevel"/>
    <w:tmpl w:val="12DA8D2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C272AC"/>
    <w:multiLevelType w:val="hybridMultilevel"/>
    <w:tmpl w:val="EE445B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6CF"/>
    <w:multiLevelType w:val="hybridMultilevel"/>
    <w:tmpl w:val="E2CE984C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7D2B01"/>
    <w:multiLevelType w:val="hybridMultilevel"/>
    <w:tmpl w:val="DC8A1DC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637983"/>
    <w:multiLevelType w:val="hybridMultilevel"/>
    <w:tmpl w:val="D1648E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D20203"/>
    <w:multiLevelType w:val="hybridMultilevel"/>
    <w:tmpl w:val="B2D2987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914F0"/>
    <w:multiLevelType w:val="hybridMultilevel"/>
    <w:tmpl w:val="D9C853A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9"/>
  </w:num>
  <w:num w:numId="3">
    <w:abstractNumId w:val="42"/>
  </w:num>
  <w:num w:numId="4">
    <w:abstractNumId w:val="54"/>
  </w:num>
  <w:num w:numId="5">
    <w:abstractNumId w:val="27"/>
  </w:num>
  <w:num w:numId="6">
    <w:abstractNumId w:val="48"/>
  </w:num>
  <w:num w:numId="7">
    <w:abstractNumId w:val="19"/>
  </w:num>
  <w:num w:numId="8">
    <w:abstractNumId w:val="51"/>
  </w:num>
  <w:num w:numId="9">
    <w:abstractNumId w:val="23"/>
  </w:num>
  <w:num w:numId="10">
    <w:abstractNumId w:val="37"/>
  </w:num>
  <w:num w:numId="11">
    <w:abstractNumId w:val="22"/>
  </w:num>
  <w:num w:numId="12">
    <w:abstractNumId w:val="40"/>
  </w:num>
  <w:num w:numId="13">
    <w:abstractNumId w:val="58"/>
  </w:num>
  <w:num w:numId="14">
    <w:abstractNumId w:val="21"/>
  </w:num>
  <w:num w:numId="15">
    <w:abstractNumId w:val="52"/>
  </w:num>
  <w:num w:numId="16">
    <w:abstractNumId w:val="56"/>
  </w:num>
  <w:num w:numId="17">
    <w:abstractNumId w:val="44"/>
  </w:num>
  <w:num w:numId="18">
    <w:abstractNumId w:val="24"/>
  </w:num>
  <w:num w:numId="19">
    <w:abstractNumId w:val="41"/>
  </w:num>
  <w:num w:numId="20">
    <w:abstractNumId w:val="28"/>
  </w:num>
  <w:num w:numId="21">
    <w:abstractNumId w:val="50"/>
  </w:num>
  <w:num w:numId="22">
    <w:abstractNumId w:val="59"/>
  </w:num>
  <w:num w:numId="23">
    <w:abstractNumId w:val="57"/>
  </w:num>
  <w:num w:numId="24">
    <w:abstractNumId w:val="43"/>
  </w:num>
  <w:num w:numId="25">
    <w:abstractNumId w:val="35"/>
  </w:num>
  <w:num w:numId="26">
    <w:abstractNumId w:val="34"/>
  </w:num>
  <w:num w:numId="27">
    <w:abstractNumId w:val="31"/>
  </w:num>
  <w:num w:numId="28">
    <w:abstractNumId w:val="38"/>
  </w:num>
  <w:num w:numId="29">
    <w:abstractNumId w:val="45"/>
  </w:num>
  <w:num w:numId="30">
    <w:abstractNumId w:val="55"/>
  </w:num>
  <w:num w:numId="31">
    <w:abstractNumId w:val="39"/>
  </w:num>
  <w:num w:numId="32">
    <w:abstractNumId w:val="25"/>
  </w:num>
  <w:num w:numId="33">
    <w:abstractNumId w:val="46"/>
  </w:num>
  <w:num w:numId="34">
    <w:abstractNumId w:val="53"/>
  </w:num>
  <w:num w:numId="35">
    <w:abstractNumId w:val="33"/>
  </w:num>
  <w:num w:numId="36">
    <w:abstractNumId w:val="30"/>
  </w:num>
  <w:num w:numId="37">
    <w:abstractNumId w:val="29"/>
  </w:num>
  <w:num w:numId="38">
    <w:abstractNumId w:val="36"/>
  </w:num>
  <w:num w:numId="39">
    <w:abstractNumId w:val="47"/>
  </w:num>
  <w:num w:numId="40">
    <w:abstractNumId w:val="20"/>
  </w:num>
  <w:num w:numId="41">
    <w:abstractNumId w:val="18"/>
  </w:num>
  <w:num w:numId="42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EC"/>
    <w:rsid w:val="00000D95"/>
    <w:rsid w:val="000031AA"/>
    <w:rsid w:val="00003C4F"/>
    <w:rsid w:val="00003CD9"/>
    <w:rsid w:val="00004A23"/>
    <w:rsid w:val="00006AA6"/>
    <w:rsid w:val="00013F2C"/>
    <w:rsid w:val="0001538B"/>
    <w:rsid w:val="0001590F"/>
    <w:rsid w:val="0001740B"/>
    <w:rsid w:val="00017E92"/>
    <w:rsid w:val="00020310"/>
    <w:rsid w:val="00020AC8"/>
    <w:rsid w:val="00021F01"/>
    <w:rsid w:val="0002416E"/>
    <w:rsid w:val="0002601F"/>
    <w:rsid w:val="00031544"/>
    <w:rsid w:val="00032E38"/>
    <w:rsid w:val="000413DC"/>
    <w:rsid w:val="0004187A"/>
    <w:rsid w:val="00041D0D"/>
    <w:rsid w:val="00045D8C"/>
    <w:rsid w:val="0004631B"/>
    <w:rsid w:val="0004796E"/>
    <w:rsid w:val="00052DB9"/>
    <w:rsid w:val="00056FD9"/>
    <w:rsid w:val="00060B58"/>
    <w:rsid w:val="00061962"/>
    <w:rsid w:val="00062B39"/>
    <w:rsid w:val="000649D6"/>
    <w:rsid w:val="00065864"/>
    <w:rsid w:val="000724C0"/>
    <w:rsid w:val="00073EA9"/>
    <w:rsid w:val="0007734F"/>
    <w:rsid w:val="00080747"/>
    <w:rsid w:val="00082066"/>
    <w:rsid w:val="00085A47"/>
    <w:rsid w:val="00085A87"/>
    <w:rsid w:val="00086C4A"/>
    <w:rsid w:val="00092CCE"/>
    <w:rsid w:val="000942F1"/>
    <w:rsid w:val="00094539"/>
    <w:rsid w:val="00097BA5"/>
    <w:rsid w:val="000A2CFC"/>
    <w:rsid w:val="000A46CE"/>
    <w:rsid w:val="000B590C"/>
    <w:rsid w:val="000B6349"/>
    <w:rsid w:val="000C04A8"/>
    <w:rsid w:val="000C277C"/>
    <w:rsid w:val="000C3F39"/>
    <w:rsid w:val="000C65FC"/>
    <w:rsid w:val="000D35A3"/>
    <w:rsid w:val="000D452E"/>
    <w:rsid w:val="000D7CBF"/>
    <w:rsid w:val="000E0A97"/>
    <w:rsid w:val="000E753F"/>
    <w:rsid w:val="000F0583"/>
    <w:rsid w:val="000F1BA3"/>
    <w:rsid w:val="000F1C30"/>
    <w:rsid w:val="000F26A9"/>
    <w:rsid w:val="000F2FB8"/>
    <w:rsid w:val="000F43D0"/>
    <w:rsid w:val="000F4A51"/>
    <w:rsid w:val="000F50F0"/>
    <w:rsid w:val="000F5655"/>
    <w:rsid w:val="000F5C89"/>
    <w:rsid w:val="000F5D88"/>
    <w:rsid w:val="000F6102"/>
    <w:rsid w:val="00102A1A"/>
    <w:rsid w:val="00104FCF"/>
    <w:rsid w:val="00114B41"/>
    <w:rsid w:val="00114F8E"/>
    <w:rsid w:val="00115D4A"/>
    <w:rsid w:val="00115EF2"/>
    <w:rsid w:val="001161F7"/>
    <w:rsid w:val="0011634B"/>
    <w:rsid w:val="001174BC"/>
    <w:rsid w:val="00120C69"/>
    <w:rsid w:val="001225EF"/>
    <w:rsid w:val="0012548D"/>
    <w:rsid w:val="00127C5F"/>
    <w:rsid w:val="0013134D"/>
    <w:rsid w:val="0013352F"/>
    <w:rsid w:val="0013724B"/>
    <w:rsid w:val="00137706"/>
    <w:rsid w:val="0014132B"/>
    <w:rsid w:val="0014143D"/>
    <w:rsid w:val="001428FB"/>
    <w:rsid w:val="00145549"/>
    <w:rsid w:val="00145F1F"/>
    <w:rsid w:val="00154A6D"/>
    <w:rsid w:val="00154EEA"/>
    <w:rsid w:val="00157423"/>
    <w:rsid w:val="0016253E"/>
    <w:rsid w:val="00164467"/>
    <w:rsid w:val="0016718D"/>
    <w:rsid w:val="00174AAB"/>
    <w:rsid w:val="001750BC"/>
    <w:rsid w:val="0018182C"/>
    <w:rsid w:val="0018367A"/>
    <w:rsid w:val="0018395F"/>
    <w:rsid w:val="0018542C"/>
    <w:rsid w:val="00186182"/>
    <w:rsid w:val="00187167"/>
    <w:rsid w:val="00191A08"/>
    <w:rsid w:val="0019309F"/>
    <w:rsid w:val="00193A5E"/>
    <w:rsid w:val="001955E9"/>
    <w:rsid w:val="0019721C"/>
    <w:rsid w:val="001A1D60"/>
    <w:rsid w:val="001A3478"/>
    <w:rsid w:val="001A49A1"/>
    <w:rsid w:val="001A55F4"/>
    <w:rsid w:val="001A6790"/>
    <w:rsid w:val="001B0FCB"/>
    <w:rsid w:val="001B1E2F"/>
    <w:rsid w:val="001B5411"/>
    <w:rsid w:val="001B6E48"/>
    <w:rsid w:val="001C441B"/>
    <w:rsid w:val="001C4832"/>
    <w:rsid w:val="001C4BA5"/>
    <w:rsid w:val="001C7966"/>
    <w:rsid w:val="001D3320"/>
    <w:rsid w:val="001D7FFE"/>
    <w:rsid w:val="001E13A0"/>
    <w:rsid w:val="001E1522"/>
    <w:rsid w:val="001E168F"/>
    <w:rsid w:val="001E4AD8"/>
    <w:rsid w:val="001E5A25"/>
    <w:rsid w:val="001E6BA6"/>
    <w:rsid w:val="001E7B61"/>
    <w:rsid w:val="001F2787"/>
    <w:rsid w:val="001F576E"/>
    <w:rsid w:val="001F5C82"/>
    <w:rsid w:val="001F628F"/>
    <w:rsid w:val="001F64AD"/>
    <w:rsid w:val="001F7B19"/>
    <w:rsid w:val="00200928"/>
    <w:rsid w:val="00202220"/>
    <w:rsid w:val="00202BEC"/>
    <w:rsid w:val="00203595"/>
    <w:rsid w:val="00205AE5"/>
    <w:rsid w:val="00205D11"/>
    <w:rsid w:val="002064C2"/>
    <w:rsid w:val="00206A09"/>
    <w:rsid w:val="00210493"/>
    <w:rsid w:val="0021553E"/>
    <w:rsid w:val="00215C5A"/>
    <w:rsid w:val="00217A45"/>
    <w:rsid w:val="0022007A"/>
    <w:rsid w:val="002208ED"/>
    <w:rsid w:val="0022101F"/>
    <w:rsid w:val="002219DC"/>
    <w:rsid w:val="002247BF"/>
    <w:rsid w:val="002266EE"/>
    <w:rsid w:val="0023071A"/>
    <w:rsid w:val="00236151"/>
    <w:rsid w:val="00237B77"/>
    <w:rsid w:val="0024150A"/>
    <w:rsid w:val="002446F0"/>
    <w:rsid w:val="0024635D"/>
    <w:rsid w:val="00247A1F"/>
    <w:rsid w:val="00250A14"/>
    <w:rsid w:val="00251C2B"/>
    <w:rsid w:val="002544B7"/>
    <w:rsid w:val="0025732F"/>
    <w:rsid w:val="002600BE"/>
    <w:rsid w:val="002607AC"/>
    <w:rsid w:val="002612AF"/>
    <w:rsid w:val="00261ACC"/>
    <w:rsid w:val="00261FA3"/>
    <w:rsid w:val="00262263"/>
    <w:rsid w:val="002622AA"/>
    <w:rsid w:val="00264013"/>
    <w:rsid w:val="002702F4"/>
    <w:rsid w:val="00270B3E"/>
    <w:rsid w:val="00270C64"/>
    <w:rsid w:val="002729C7"/>
    <w:rsid w:val="00282D9D"/>
    <w:rsid w:val="00282F45"/>
    <w:rsid w:val="00283AEB"/>
    <w:rsid w:val="002843A0"/>
    <w:rsid w:val="0028570F"/>
    <w:rsid w:val="00287CD8"/>
    <w:rsid w:val="00290B96"/>
    <w:rsid w:val="00291FC9"/>
    <w:rsid w:val="0029240F"/>
    <w:rsid w:val="002951D1"/>
    <w:rsid w:val="002967AE"/>
    <w:rsid w:val="002A081F"/>
    <w:rsid w:val="002A1197"/>
    <w:rsid w:val="002A38AD"/>
    <w:rsid w:val="002A5DDA"/>
    <w:rsid w:val="002B228D"/>
    <w:rsid w:val="002B2AE5"/>
    <w:rsid w:val="002B314B"/>
    <w:rsid w:val="002C0153"/>
    <w:rsid w:val="002C093F"/>
    <w:rsid w:val="002C1108"/>
    <w:rsid w:val="002C1326"/>
    <w:rsid w:val="002C640C"/>
    <w:rsid w:val="002C7368"/>
    <w:rsid w:val="002C7818"/>
    <w:rsid w:val="002D0EED"/>
    <w:rsid w:val="002D1637"/>
    <w:rsid w:val="002D6EF9"/>
    <w:rsid w:val="002E083C"/>
    <w:rsid w:val="002E0C6D"/>
    <w:rsid w:val="002E1618"/>
    <w:rsid w:val="002E30CC"/>
    <w:rsid w:val="002E328C"/>
    <w:rsid w:val="002E7565"/>
    <w:rsid w:val="002F1A87"/>
    <w:rsid w:val="002F26AE"/>
    <w:rsid w:val="002F2773"/>
    <w:rsid w:val="002F3992"/>
    <w:rsid w:val="002F4A99"/>
    <w:rsid w:val="002F681F"/>
    <w:rsid w:val="003017BB"/>
    <w:rsid w:val="003028DA"/>
    <w:rsid w:val="00302B1C"/>
    <w:rsid w:val="00303CF0"/>
    <w:rsid w:val="0030667B"/>
    <w:rsid w:val="003066E5"/>
    <w:rsid w:val="00306720"/>
    <w:rsid w:val="003078FF"/>
    <w:rsid w:val="003104A1"/>
    <w:rsid w:val="00315103"/>
    <w:rsid w:val="00316D4F"/>
    <w:rsid w:val="0032160D"/>
    <w:rsid w:val="00323334"/>
    <w:rsid w:val="003338EF"/>
    <w:rsid w:val="00333954"/>
    <w:rsid w:val="0033677E"/>
    <w:rsid w:val="00337F1E"/>
    <w:rsid w:val="00341C20"/>
    <w:rsid w:val="00341E79"/>
    <w:rsid w:val="00341F49"/>
    <w:rsid w:val="00342B16"/>
    <w:rsid w:val="0034597C"/>
    <w:rsid w:val="00347569"/>
    <w:rsid w:val="0035344C"/>
    <w:rsid w:val="00360815"/>
    <w:rsid w:val="00363040"/>
    <w:rsid w:val="00365883"/>
    <w:rsid w:val="00365D02"/>
    <w:rsid w:val="00367A67"/>
    <w:rsid w:val="003714C7"/>
    <w:rsid w:val="003741C3"/>
    <w:rsid w:val="00374B55"/>
    <w:rsid w:val="00376197"/>
    <w:rsid w:val="00376AF1"/>
    <w:rsid w:val="00377B73"/>
    <w:rsid w:val="00377BB9"/>
    <w:rsid w:val="003811A5"/>
    <w:rsid w:val="00382CDE"/>
    <w:rsid w:val="0038428B"/>
    <w:rsid w:val="00385D9F"/>
    <w:rsid w:val="0038696D"/>
    <w:rsid w:val="003869D5"/>
    <w:rsid w:val="00392DFA"/>
    <w:rsid w:val="00394D2B"/>
    <w:rsid w:val="00397AF7"/>
    <w:rsid w:val="003A1D2A"/>
    <w:rsid w:val="003A33A7"/>
    <w:rsid w:val="003A6A77"/>
    <w:rsid w:val="003B368F"/>
    <w:rsid w:val="003B7BF5"/>
    <w:rsid w:val="003C060C"/>
    <w:rsid w:val="003C1C77"/>
    <w:rsid w:val="003C2C46"/>
    <w:rsid w:val="003C5BEE"/>
    <w:rsid w:val="003D3F80"/>
    <w:rsid w:val="003E0FD4"/>
    <w:rsid w:val="003E1405"/>
    <w:rsid w:val="003E40B1"/>
    <w:rsid w:val="003F2289"/>
    <w:rsid w:val="003F34B5"/>
    <w:rsid w:val="003F49A0"/>
    <w:rsid w:val="003F51D9"/>
    <w:rsid w:val="004009BC"/>
    <w:rsid w:val="00400EDA"/>
    <w:rsid w:val="00401E85"/>
    <w:rsid w:val="004041E9"/>
    <w:rsid w:val="00405589"/>
    <w:rsid w:val="00410D25"/>
    <w:rsid w:val="004121F3"/>
    <w:rsid w:val="00412577"/>
    <w:rsid w:val="00412674"/>
    <w:rsid w:val="0041288A"/>
    <w:rsid w:val="004157DD"/>
    <w:rsid w:val="00423FA9"/>
    <w:rsid w:val="00424494"/>
    <w:rsid w:val="00426D83"/>
    <w:rsid w:val="00427384"/>
    <w:rsid w:val="00431A24"/>
    <w:rsid w:val="00431D89"/>
    <w:rsid w:val="0043545A"/>
    <w:rsid w:val="00435B48"/>
    <w:rsid w:val="004363ED"/>
    <w:rsid w:val="004404C6"/>
    <w:rsid w:val="00441363"/>
    <w:rsid w:val="00443875"/>
    <w:rsid w:val="00443C14"/>
    <w:rsid w:val="00444174"/>
    <w:rsid w:val="0044466A"/>
    <w:rsid w:val="004475CE"/>
    <w:rsid w:val="0045038E"/>
    <w:rsid w:val="004558CD"/>
    <w:rsid w:val="00460936"/>
    <w:rsid w:val="00462D44"/>
    <w:rsid w:val="00463756"/>
    <w:rsid w:val="00464B77"/>
    <w:rsid w:val="00473E29"/>
    <w:rsid w:val="00477CAD"/>
    <w:rsid w:val="00477D0B"/>
    <w:rsid w:val="00486F19"/>
    <w:rsid w:val="00487FDA"/>
    <w:rsid w:val="0049170F"/>
    <w:rsid w:val="004950B4"/>
    <w:rsid w:val="00495C05"/>
    <w:rsid w:val="004968AB"/>
    <w:rsid w:val="004A00D6"/>
    <w:rsid w:val="004A05BE"/>
    <w:rsid w:val="004A367E"/>
    <w:rsid w:val="004A4159"/>
    <w:rsid w:val="004A7C7A"/>
    <w:rsid w:val="004A7D6B"/>
    <w:rsid w:val="004B2397"/>
    <w:rsid w:val="004B38CF"/>
    <w:rsid w:val="004B4D60"/>
    <w:rsid w:val="004B7DF4"/>
    <w:rsid w:val="004B7F02"/>
    <w:rsid w:val="004C2D6C"/>
    <w:rsid w:val="004D13A8"/>
    <w:rsid w:val="004D59F3"/>
    <w:rsid w:val="004D6E89"/>
    <w:rsid w:val="004E2415"/>
    <w:rsid w:val="004E3AAA"/>
    <w:rsid w:val="004E4C3E"/>
    <w:rsid w:val="004E4D24"/>
    <w:rsid w:val="004E4ED5"/>
    <w:rsid w:val="004E7C86"/>
    <w:rsid w:val="004E7DC0"/>
    <w:rsid w:val="004F1FC6"/>
    <w:rsid w:val="004F277E"/>
    <w:rsid w:val="00501F48"/>
    <w:rsid w:val="005032A4"/>
    <w:rsid w:val="0050381D"/>
    <w:rsid w:val="005103AF"/>
    <w:rsid w:val="005148B7"/>
    <w:rsid w:val="0051654B"/>
    <w:rsid w:val="00520F85"/>
    <w:rsid w:val="00527824"/>
    <w:rsid w:val="00530597"/>
    <w:rsid w:val="00530BEB"/>
    <w:rsid w:val="00535AE8"/>
    <w:rsid w:val="00536137"/>
    <w:rsid w:val="00537801"/>
    <w:rsid w:val="0054263A"/>
    <w:rsid w:val="005506DE"/>
    <w:rsid w:val="00550C33"/>
    <w:rsid w:val="0055687E"/>
    <w:rsid w:val="00562985"/>
    <w:rsid w:val="0056469E"/>
    <w:rsid w:val="005662FF"/>
    <w:rsid w:val="00566B33"/>
    <w:rsid w:val="00566F38"/>
    <w:rsid w:val="00570E2A"/>
    <w:rsid w:val="00575279"/>
    <w:rsid w:val="005811EA"/>
    <w:rsid w:val="00583293"/>
    <w:rsid w:val="00583437"/>
    <w:rsid w:val="00583478"/>
    <w:rsid w:val="00586043"/>
    <w:rsid w:val="005915FE"/>
    <w:rsid w:val="00591FD0"/>
    <w:rsid w:val="005921D0"/>
    <w:rsid w:val="005944C3"/>
    <w:rsid w:val="00596425"/>
    <w:rsid w:val="005A07BE"/>
    <w:rsid w:val="005A0A19"/>
    <w:rsid w:val="005A3CBB"/>
    <w:rsid w:val="005A4E6E"/>
    <w:rsid w:val="005B01B2"/>
    <w:rsid w:val="005B2827"/>
    <w:rsid w:val="005B3955"/>
    <w:rsid w:val="005B4D76"/>
    <w:rsid w:val="005B6537"/>
    <w:rsid w:val="005B6A9F"/>
    <w:rsid w:val="005C14A8"/>
    <w:rsid w:val="005C2D01"/>
    <w:rsid w:val="005C4D13"/>
    <w:rsid w:val="005C61ED"/>
    <w:rsid w:val="005C651C"/>
    <w:rsid w:val="005C734B"/>
    <w:rsid w:val="005D10AC"/>
    <w:rsid w:val="005D1D2D"/>
    <w:rsid w:val="005D2FBB"/>
    <w:rsid w:val="005D39ED"/>
    <w:rsid w:val="005D4712"/>
    <w:rsid w:val="005D4BF1"/>
    <w:rsid w:val="005D63BB"/>
    <w:rsid w:val="005D6A80"/>
    <w:rsid w:val="005E2491"/>
    <w:rsid w:val="005E3692"/>
    <w:rsid w:val="005F0D7F"/>
    <w:rsid w:val="005F0DDD"/>
    <w:rsid w:val="005F60C4"/>
    <w:rsid w:val="00603923"/>
    <w:rsid w:val="00605F16"/>
    <w:rsid w:val="00615802"/>
    <w:rsid w:val="0062044B"/>
    <w:rsid w:val="00620D00"/>
    <w:rsid w:val="00620E57"/>
    <w:rsid w:val="00621B6D"/>
    <w:rsid w:val="00623911"/>
    <w:rsid w:val="00623B56"/>
    <w:rsid w:val="006247C3"/>
    <w:rsid w:val="00625CBC"/>
    <w:rsid w:val="00626566"/>
    <w:rsid w:val="00631C80"/>
    <w:rsid w:val="0063417D"/>
    <w:rsid w:val="00634FE2"/>
    <w:rsid w:val="00636F9F"/>
    <w:rsid w:val="0063711D"/>
    <w:rsid w:val="00637127"/>
    <w:rsid w:val="006416F1"/>
    <w:rsid w:val="006442BD"/>
    <w:rsid w:val="006450D5"/>
    <w:rsid w:val="00646083"/>
    <w:rsid w:val="00652A19"/>
    <w:rsid w:val="00653213"/>
    <w:rsid w:val="00660D01"/>
    <w:rsid w:val="00663E00"/>
    <w:rsid w:val="006647CB"/>
    <w:rsid w:val="00674703"/>
    <w:rsid w:val="0067492F"/>
    <w:rsid w:val="00674D39"/>
    <w:rsid w:val="00675515"/>
    <w:rsid w:val="00675C56"/>
    <w:rsid w:val="006802B7"/>
    <w:rsid w:val="00680522"/>
    <w:rsid w:val="00680E6A"/>
    <w:rsid w:val="00681F22"/>
    <w:rsid w:val="00682370"/>
    <w:rsid w:val="006858D3"/>
    <w:rsid w:val="006865DE"/>
    <w:rsid w:val="006866B7"/>
    <w:rsid w:val="00690772"/>
    <w:rsid w:val="006962AF"/>
    <w:rsid w:val="006A091A"/>
    <w:rsid w:val="006A27A3"/>
    <w:rsid w:val="006A28E0"/>
    <w:rsid w:val="006B0945"/>
    <w:rsid w:val="006B2459"/>
    <w:rsid w:val="006B55EE"/>
    <w:rsid w:val="006C03E1"/>
    <w:rsid w:val="006C3355"/>
    <w:rsid w:val="006C406D"/>
    <w:rsid w:val="006C425E"/>
    <w:rsid w:val="006C43A3"/>
    <w:rsid w:val="006C6AD2"/>
    <w:rsid w:val="006C6B60"/>
    <w:rsid w:val="006C7E2D"/>
    <w:rsid w:val="006D36E1"/>
    <w:rsid w:val="006D594F"/>
    <w:rsid w:val="006D64CC"/>
    <w:rsid w:val="006E1AEB"/>
    <w:rsid w:val="006E21BB"/>
    <w:rsid w:val="006E57EC"/>
    <w:rsid w:val="006F1C10"/>
    <w:rsid w:val="006F3E12"/>
    <w:rsid w:val="006F5CD7"/>
    <w:rsid w:val="00700D71"/>
    <w:rsid w:val="007043FD"/>
    <w:rsid w:val="00711045"/>
    <w:rsid w:val="00712155"/>
    <w:rsid w:val="00714EBF"/>
    <w:rsid w:val="00716A41"/>
    <w:rsid w:val="00722F58"/>
    <w:rsid w:val="00726996"/>
    <w:rsid w:val="00730394"/>
    <w:rsid w:val="00735D44"/>
    <w:rsid w:val="007406E7"/>
    <w:rsid w:val="00740CA1"/>
    <w:rsid w:val="00741235"/>
    <w:rsid w:val="00742AC8"/>
    <w:rsid w:val="0074398E"/>
    <w:rsid w:val="00745EAA"/>
    <w:rsid w:val="007463FE"/>
    <w:rsid w:val="007472A4"/>
    <w:rsid w:val="007507DE"/>
    <w:rsid w:val="007535FF"/>
    <w:rsid w:val="007540B6"/>
    <w:rsid w:val="00754AC0"/>
    <w:rsid w:val="007552DF"/>
    <w:rsid w:val="00756FF9"/>
    <w:rsid w:val="00761017"/>
    <w:rsid w:val="00762686"/>
    <w:rsid w:val="007650BB"/>
    <w:rsid w:val="00765B03"/>
    <w:rsid w:val="00770DC6"/>
    <w:rsid w:val="00776E82"/>
    <w:rsid w:val="00781B73"/>
    <w:rsid w:val="00781F3C"/>
    <w:rsid w:val="00782E43"/>
    <w:rsid w:val="00783779"/>
    <w:rsid w:val="007901AB"/>
    <w:rsid w:val="007909D1"/>
    <w:rsid w:val="00793238"/>
    <w:rsid w:val="007950DE"/>
    <w:rsid w:val="0079687A"/>
    <w:rsid w:val="007A2697"/>
    <w:rsid w:val="007A3E82"/>
    <w:rsid w:val="007B06D2"/>
    <w:rsid w:val="007B24AF"/>
    <w:rsid w:val="007C15EB"/>
    <w:rsid w:val="007C29D8"/>
    <w:rsid w:val="007C3F42"/>
    <w:rsid w:val="007C4816"/>
    <w:rsid w:val="007C7E64"/>
    <w:rsid w:val="007D19EB"/>
    <w:rsid w:val="007D1FB7"/>
    <w:rsid w:val="007D21EA"/>
    <w:rsid w:val="007D3C34"/>
    <w:rsid w:val="007D630C"/>
    <w:rsid w:val="007E2E9B"/>
    <w:rsid w:val="007E45C0"/>
    <w:rsid w:val="007E7176"/>
    <w:rsid w:val="007F042F"/>
    <w:rsid w:val="007F1555"/>
    <w:rsid w:val="007F1807"/>
    <w:rsid w:val="007F755F"/>
    <w:rsid w:val="008041A9"/>
    <w:rsid w:val="00807173"/>
    <w:rsid w:val="0080730C"/>
    <w:rsid w:val="00812319"/>
    <w:rsid w:val="00815022"/>
    <w:rsid w:val="008154A8"/>
    <w:rsid w:val="008207C2"/>
    <w:rsid w:val="00820BCE"/>
    <w:rsid w:val="00821D31"/>
    <w:rsid w:val="00822018"/>
    <w:rsid w:val="00826C0B"/>
    <w:rsid w:val="00831E5E"/>
    <w:rsid w:val="00842C40"/>
    <w:rsid w:val="00842D92"/>
    <w:rsid w:val="00843848"/>
    <w:rsid w:val="008469F6"/>
    <w:rsid w:val="00847F86"/>
    <w:rsid w:val="0085090F"/>
    <w:rsid w:val="00852377"/>
    <w:rsid w:val="00855F8D"/>
    <w:rsid w:val="008644ED"/>
    <w:rsid w:val="0086522C"/>
    <w:rsid w:val="008673C1"/>
    <w:rsid w:val="00870998"/>
    <w:rsid w:val="0087296D"/>
    <w:rsid w:val="00874926"/>
    <w:rsid w:val="00874B01"/>
    <w:rsid w:val="008754FA"/>
    <w:rsid w:val="00880D24"/>
    <w:rsid w:val="0088225D"/>
    <w:rsid w:val="00882A10"/>
    <w:rsid w:val="00890C77"/>
    <w:rsid w:val="00890F17"/>
    <w:rsid w:val="0089162E"/>
    <w:rsid w:val="008932F6"/>
    <w:rsid w:val="0089393C"/>
    <w:rsid w:val="008957EC"/>
    <w:rsid w:val="0089626C"/>
    <w:rsid w:val="008A00D8"/>
    <w:rsid w:val="008A01EA"/>
    <w:rsid w:val="008A2E31"/>
    <w:rsid w:val="008B107B"/>
    <w:rsid w:val="008B17DE"/>
    <w:rsid w:val="008B585D"/>
    <w:rsid w:val="008B7F55"/>
    <w:rsid w:val="008C1DA8"/>
    <w:rsid w:val="008C577F"/>
    <w:rsid w:val="008C72CC"/>
    <w:rsid w:val="008C7E56"/>
    <w:rsid w:val="008D00CF"/>
    <w:rsid w:val="008D45B8"/>
    <w:rsid w:val="008D6D61"/>
    <w:rsid w:val="008E0066"/>
    <w:rsid w:val="008E00A7"/>
    <w:rsid w:val="008E3E15"/>
    <w:rsid w:val="008E6C1E"/>
    <w:rsid w:val="008F16F4"/>
    <w:rsid w:val="008F17CE"/>
    <w:rsid w:val="008F2C84"/>
    <w:rsid w:val="008F6295"/>
    <w:rsid w:val="00905D3C"/>
    <w:rsid w:val="009137FB"/>
    <w:rsid w:val="00916C55"/>
    <w:rsid w:val="009172A0"/>
    <w:rsid w:val="00923988"/>
    <w:rsid w:val="0092418D"/>
    <w:rsid w:val="00931127"/>
    <w:rsid w:val="009341D6"/>
    <w:rsid w:val="0093554B"/>
    <w:rsid w:val="00936B66"/>
    <w:rsid w:val="009370FF"/>
    <w:rsid w:val="009432D7"/>
    <w:rsid w:val="00945386"/>
    <w:rsid w:val="00945DBA"/>
    <w:rsid w:val="00950600"/>
    <w:rsid w:val="0095066C"/>
    <w:rsid w:val="0095311A"/>
    <w:rsid w:val="00954A0D"/>
    <w:rsid w:val="00955FE4"/>
    <w:rsid w:val="00956DF7"/>
    <w:rsid w:val="00961CA8"/>
    <w:rsid w:val="0096301B"/>
    <w:rsid w:val="00964D44"/>
    <w:rsid w:val="00965C83"/>
    <w:rsid w:val="00966091"/>
    <w:rsid w:val="009677CC"/>
    <w:rsid w:val="00971250"/>
    <w:rsid w:val="00972715"/>
    <w:rsid w:val="009733DB"/>
    <w:rsid w:val="00973627"/>
    <w:rsid w:val="0097449C"/>
    <w:rsid w:val="00974C8A"/>
    <w:rsid w:val="009770AC"/>
    <w:rsid w:val="0098440C"/>
    <w:rsid w:val="00985D2E"/>
    <w:rsid w:val="00985F45"/>
    <w:rsid w:val="00987ED6"/>
    <w:rsid w:val="00992EB4"/>
    <w:rsid w:val="00994B4A"/>
    <w:rsid w:val="009973A6"/>
    <w:rsid w:val="009A168D"/>
    <w:rsid w:val="009A1AE2"/>
    <w:rsid w:val="009A2865"/>
    <w:rsid w:val="009A5F54"/>
    <w:rsid w:val="009A7986"/>
    <w:rsid w:val="009B2842"/>
    <w:rsid w:val="009B6BCA"/>
    <w:rsid w:val="009C1BC4"/>
    <w:rsid w:val="009C1DA6"/>
    <w:rsid w:val="009C2370"/>
    <w:rsid w:val="009C585F"/>
    <w:rsid w:val="009D008A"/>
    <w:rsid w:val="009D11A1"/>
    <w:rsid w:val="009D1972"/>
    <w:rsid w:val="009D257A"/>
    <w:rsid w:val="009D6192"/>
    <w:rsid w:val="009E2EE5"/>
    <w:rsid w:val="009E3E28"/>
    <w:rsid w:val="009E4BEE"/>
    <w:rsid w:val="009E75D6"/>
    <w:rsid w:val="009E7ACA"/>
    <w:rsid w:val="009F1829"/>
    <w:rsid w:val="009F69E1"/>
    <w:rsid w:val="009F7247"/>
    <w:rsid w:val="00A01553"/>
    <w:rsid w:val="00A03512"/>
    <w:rsid w:val="00A04907"/>
    <w:rsid w:val="00A1126D"/>
    <w:rsid w:val="00A11D7C"/>
    <w:rsid w:val="00A15167"/>
    <w:rsid w:val="00A20382"/>
    <w:rsid w:val="00A2399F"/>
    <w:rsid w:val="00A24B81"/>
    <w:rsid w:val="00A30D71"/>
    <w:rsid w:val="00A32D2A"/>
    <w:rsid w:val="00A33B17"/>
    <w:rsid w:val="00A36ADF"/>
    <w:rsid w:val="00A376DC"/>
    <w:rsid w:val="00A37B9A"/>
    <w:rsid w:val="00A414B8"/>
    <w:rsid w:val="00A426E2"/>
    <w:rsid w:val="00A42CF9"/>
    <w:rsid w:val="00A42DD2"/>
    <w:rsid w:val="00A4392F"/>
    <w:rsid w:val="00A43CC4"/>
    <w:rsid w:val="00A448A7"/>
    <w:rsid w:val="00A451E4"/>
    <w:rsid w:val="00A45AB1"/>
    <w:rsid w:val="00A45B43"/>
    <w:rsid w:val="00A461C9"/>
    <w:rsid w:val="00A47003"/>
    <w:rsid w:val="00A511B6"/>
    <w:rsid w:val="00A53A5A"/>
    <w:rsid w:val="00A53F5B"/>
    <w:rsid w:val="00A5504F"/>
    <w:rsid w:val="00A56A6D"/>
    <w:rsid w:val="00A60448"/>
    <w:rsid w:val="00A60917"/>
    <w:rsid w:val="00A62A30"/>
    <w:rsid w:val="00A65DD2"/>
    <w:rsid w:val="00A65F46"/>
    <w:rsid w:val="00A757F7"/>
    <w:rsid w:val="00A82760"/>
    <w:rsid w:val="00A83C98"/>
    <w:rsid w:val="00A854BC"/>
    <w:rsid w:val="00A86585"/>
    <w:rsid w:val="00A87C6E"/>
    <w:rsid w:val="00A91814"/>
    <w:rsid w:val="00A945A8"/>
    <w:rsid w:val="00A94782"/>
    <w:rsid w:val="00A95975"/>
    <w:rsid w:val="00A96626"/>
    <w:rsid w:val="00A9704A"/>
    <w:rsid w:val="00AA0F8E"/>
    <w:rsid w:val="00AA2AA6"/>
    <w:rsid w:val="00AA76BC"/>
    <w:rsid w:val="00AB0A72"/>
    <w:rsid w:val="00AB1D11"/>
    <w:rsid w:val="00AB269E"/>
    <w:rsid w:val="00AB365A"/>
    <w:rsid w:val="00AB5DAA"/>
    <w:rsid w:val="00AB5E0D"/>
    <w:rsid w:val="00AB611C"/>
    <w:rsid w:val="00AB717A"/>
    <w:rsid w:val="00AB7537"/>
    <w:rsid w:val="00AC45A3"/>
    <w:rsid w:val="00AC4D51"/>
    <w:rsid w:val="00AC6608"/>
    <w:rsid w:val="00AD1F02"/>
    <w:rsid w:val="00AD4246"/>
    <w:rsid w:val="00AD66C1"/>
    <w:rsid w:val="00AE2E3C"/>
    <w:rsid w:val="00AE53CC"/>
    <w:rsid w:val="00AE65B0"/>
    <w:rsid w:val="00AE6C13"/>
    <w:rsid w:val="00AE7BB5"/>
    <w:rsid w:val="00AF0172"/>
    <w:rsid w:val="00AF038B"/>
    <w:rsid w:val="00AF37D7"/>
    <w:rsid w:val="00AF3B59"/>
    <w:rsid w:val="00AF4DEB"/>
    <w:rsid w:val="00B005B0"/>
    <w:rsid w:val="00B00F6A"/>
    <w:rsid w:val="00B01F20"/>
    <w:rsid w:val="00B02936"/>
    <w:rsid w:val="00B04C31"/>
    <w:rsid w:val="00B06E66"/>
    <w:rsid w:val="00B074C3"/>
    <w:rsid w:val="00B104BC"/>
    <w:rsid w:val="00B116C9"/>
    <w:rsid w:val="00B130F5"/>
    <w:rsid w:val="00B13F64"/>
    <w:rsid w:val="00B141F4"/>
    <w:rsid w:val="00B14BFD"/>
    <w:rsid w:val="00B16EBB"/>
    <w:rsid w:val="00B177A5"/>
    <w:rsid w:val="00B20737"/>
    <w:rsid w:val="00B20C75"/>
    <w:rsid w:val="00B21123"/>
    <w:rsid w:val="00B22F64"/>
    <w:rsid w:val="00B2453C"/>
    <w:rsid w:val="00B25E5C"/>
    <w:rsid w:val="00B26308"/>
    <w:rsid w:val="00B27262"/>
    <w:rsid w:val="00B30B75"/>
    <w:rsid w:val="00B31602"/>
    <w:rsid w:val="00B331E5"/>
    <w:rsid w:val="00B3380D"/>
    <w:rsid w:val="00B356D0"/>
    <w:rsid w:val="00B36A87"/>
    <w:rsid w:val="00B37B2E"/>
    <w:rsid w:val="00B43D72"/>
    <w:rsid w:val="00B43F79"/>
    <w:rsid w:val="00B44E37"/>
    <w:rsid w:val="00B47ED3"/>
    <w:rsid w:val="00B47F53"/>
    <w:rsid w:val="00B617D0"/>
    <w:rsid w:val="00B635D8"/>
    <w:rsid w:val="00B65C0E"/>
    <w:rsid w:val="00B65C1B"/>
    <w:rsid w:val="00B674E3"/>
    <w:rsid w:val="00B67A25"/>
    <w:rsid w:val="00B71B5F"/>
    <w:rsid w:val="00B71E0F"/>
    <w:rsid w:val="00B7413B"/>
    <w:rsid w:val="00B75DE9"/>
    <w:rsid w:val="00B77655"/>
    <w:rsid w:val="00B77FED"/>
    <w:rsid w:val="00B802C0"/>
    <w:rsid w:val="00B80C92"/>
    <w:rsid w:val="00B85499"/>
    <w:rsid w:val="00B86213"/>
    <w:rsid w:val="00B92F90"/>
    <w:rsid w:val="00B939BD"/>
    <w:rsid w:val="00B942CC"/>
    <w:rsid w:val="00B947B8"/>
    <w:rsid w:val="00B94DD5"/>
    <w:rsid w:val="00BB0190"/>
    <w:rsid w:val="00BB6507"/>
    <w:rsid w:val="00BB7ADD"/>
    <w:rsid w:val="00BC2F98"/>
    <w:rsid w:val="00BC2FD7"/>
    <w:rsid w:val="00BC495D"/>
    <w:rsid w:val="00BC4ED0"/>
    <w:rsid w:val="00BC69A6"/>
    <w:rsid w:val="00BC7F0B"/>
    <w:rsid w:val="00BD148A"/>
    <w:rsid w:val="00BD2A7B"/>
    <w:rsid w:val="00BD32F5"/>
    <w:rsid w:val="00BD6DE7"/>
    <w:rsid w:val="00BD7E26"/>
    <w:rsid w:val="00BE1632"/>
    <w:rsid w:val="00BE1686"/>
    <w:rsid w:val="00BE261B"/>
    <w:rsid w:val="00BE66D1"/>
    <w:rsid w:val="00BF2AEE"/>
    <w:rsid w:val="00BF36D0"/>
    <w:rsid w:val="00C01B61"/>
    <w:rsid w:val="00C02953"/>
    <w:rsid w:val="00C0341E"/>
    <w:rsid w:val="00C04D0C"/>
    <w:rsid w:val="00C12148"/>
    <w:rsid w:val="00C16401"/>
    <w:rsid w:val="00C16A18"/>
    <w:rsid w:val="00C20765"/>
    <w:rsid w:val="00C208EE"/>
    <w:rsid w:val="00C218AE"/>
    <w:rsid w:val="00C24865"/>
    <w:rsid w:val="00C256B3"/>
    <w:rsid w:val="00C27E3C"/>
    <w:rsid w:val="00C32EF7"/>
    <w:rsid w:val="00C402CC"/>
    <w:rsid w:val="00C44C94"/>
    <w:rsid w:val="00C44ED6"/>
    <w:rsid w:val="00C460A1"/>
    <w:rsid w:val="00C46A73"/>
    <w:rsid w:val="00C46FFB"/>
    <w:rsid w:val="00C472EC"/>
    <w:rsid w:val="00C50E05"/>
    <w:rsid w:val="00C51C93"/>
    <w:rsid w:val="00C52940"/>
    <w:rsid w:val="00C52FE7"/>
    <w:rsid w:val="00C53E17"/>
    <w:rsid w:val="00C57E7A"/>
    <w:rsid w:val="00C61B2E"/>
    <w:rsid w:val="00C620B4"/>
    <w:rsid w:val="00C64CDF"/>
    <w:rsid w:val="00C650F8"/>
    <w:rsid w:val="00C7011D"/>
    <w:rsid w:val="00C70E4F"/>
    <w:rsid w:val="00C73486"/>
    <w:rsid w:val="00C73C8F"/>
    <w:rsid w:val="00C75507"/>
    <w:rsid w:val="00C80F92"/>
    <w:rsid w:val="00C81905"/>
    <w:rsid w:val="00C82316"/>
    <w:rsid w:val="00C833A4"/>
    <w:rsid w:val="00C844B6"/>
    <w:rsid w:val="00C84704"/>
    <w:rsid w:val="00C9026D"/>
    <w:rsid w:val="00C92853"/>
    <w:rsid w:val="00C92BB8"/>
    <w:rsid w:val="00C95133"/>
    <w:rsid w:val="00C95A0D"/>
    <w:rsid w:val="00CA2DB7"/>
    <w:rsid w:val="00CA4A41"/>
    <w:rsid w:val="00CA4D71"/>
    <w:rsid w:val="00CB2206"/>
    <w:rsid w:val="00CB7B4B"/>
    <w:rsid w:val="00CC0DCA"/>
    <w:rsid w:val="00CC408D"/>
    <w:rsid w:val="00CC558E"/>
    <w:rsid w:val="00CD42E6"/>
    <w:rsid w:val="00CD43F5"/>
    <w:rsid w:val="00CE139E"/>
    <w:rsid w:val="00CE1DFD"/>
    <w:rsid w:val="00CE2635"/>
    <w:rsid w:val="00CE723B"/>
    <w:rsid w:val="00CE74A3"/>
    <w:rsid w:val="00CF02BC"/>
    <w:rsid w:val="00CF68D7"/>
    <w:rsid w:val="00CF740F"/>
    <w:rsid w:val="00D00CC5"/>
    <w:rsid w:val="00D04DA7"/>
    <w:rsid w:val="00D054E5"/>
    <w:rsid w:val="00D07A96"/>
    <w:rsid w:val="00D1147A"/>
    <w:rsid w:val="00D12278"/>
    <w:rsid w:val="00D122C8"/>
    <w:rsid w:val="00D23004"/>
    <w:rsid w:val="00D24BA1"/>
    <w:rsid w:val="00D26C2D"/>
    <w:rsid w:val="00D31629"/>
    <w:rsid w:val="00D3311D"/>
    <w:rsid w:val="00D33A05"/>
    <w:rsid w:val="00D4250E"/>
    <w:rsid w:val="00D44C10"/>
    <w:rsid w:val="00D5162F"/>
    <w:rsid w:val="00D51640"/>
    <w:rsid w:val="00D57180"/>
    <w:rsid w:val="00D57545"/>
    <w:rsid w:val="00D67D6A"/>
    <w:rsid w:val="00D71E96"/>
    <w:rsid w:val="00D73822"/>
    <w:rsid w:val="00D802D6"/>
    <w:rsid w:val="00D917B2"/>
    <w:rsid w:val="00D94726"/>
    <w:rsid w:val="00DA194C"/>
    <w:rsid w:val="00DA3C0C"/>
    <w:rsid w:val="00DA4FC0"/>
    <w:rsid w:val="00DA7516"/>
    <w:rsid w:val="00DC1865"/>
    <w:rsid w:val="00DC2AC8"/>
    <w:rsid w:val="00DC4BD2"/>
    <w:rsid w:val="00DC5B8C"/>
    <w:rsid w:val="00DC7719"/>
    <w:rsid w:val="00DD097E"/>
    <w:rsid w:val="00DD0E17"/>
    <w:rsid w:val="00DD2207"/>
    <w:rsid w:val="00DD2AB8"/>
    <w:rsid w:val="00DD707B"/>
    <w:rsid w:val="00DE1171"/>
    <w:rsid w:val="00DE1428"/>
    <w:rsid w:val="00DE5FFE"/>
    <w:rsid w:val="00DE6053"/>
    <w:rsid w:val="00DE6DE4"/>
    <w:rsid w:val="00DF153C"/>
    <w:rsid w:val="00DF320E"/>
    <w:rsid w:val="00DF3B20"/>
    <w:rsid w:val="00DF42F5"/>
    <w:rsid w:val="00DF5152"/>
    <w:rsid w:val="00DF57B4"/>
    <w:rsid w:val="00E024D0"/>
    <w:rsid w:val="00E03236"/>
    <w:rsid w:val="00E03C20"/>
    <w:rsid w:val="00E119D9"/>
    <w:rsid w:val="00E14A77"/>
    <w:rsid w:val="00E1539F"/>
    <w:rsid w:val="00E154FE"/>
    <w:rsid w:val="00E16919"/>
    <w:rsid w:val="00E17F22"/>
    <w:rsid w:val="00E214C6"/>
    <w:rsid w:val="00E21BA1"/>
    <w:rsid w:val="00E21E5D"/>
    <w:rsid w:val="00E24209"/>
    <w:rsid w:val="00E310A9"/>
    <w:rsid w:val="00E32BD9"/>
    <w:rsid w:val="00E336F6"/>
    <w:rsid w:val="00E40292"/>
    <w:rsid w:val="00E431B2"/>
    <w:rsid w:val="00E44869"/>
    <w:rsid w:val="00E470CC"/>
    <w:rsid w:val="00E52A80"/>
    <w:rsid w:val="00E532D3"/>
    <w:rsid w:val="00E54F86"/>
    <w:rsid w:val="00E56430"/>
    <w:rsid w:val="00E571BF"/>
    <w:rsid w:val="00E571D4"/>
    <w:rsid w:val="00E61E80"/>
    <w:rsid w:val="00E628CF"/>
    <w:rsid w:val="00E6452B"/>
    <w:rsid w:val="00E65B86"/>
    <w:rsid w:val="00E66FDA"/>
    <w:rsid w:val="00E67CF1"/>
    <w:rsid w:val="00E67F01"/>
    <w:rsid w:val="00E720E6"/>
    <w:rsid w:val="00E72B02"/>
    <w:rsid w:val="00E7337E"/>
    <w:rsid w:val="00E733E0"/>
    <w:rsid w:val="00E75B36"/>
    <w:rsid w:val="00E768E8"/>
    <w:rsid w:val="00E862CF"/>
    <w:rsid w:val="00E862D1"/>
    <w:rsid w:val="00E92723"/>
    <w:rsid w:val="00E93A87"/>
    <w:rsid w:val="00E94924"/>
    <w:rsid w:val="00EA24DB"/>
    <w:rsid w:val="00EA2C0E"/>
    <w:rsid w:val="00EA3447"/>
    <w:rsid w:val="00EA38E5"/>
    <w:rsid w:val="00EA4822"/>
    <w:rsid w:val="00EB1EE2"/>
    <w:rsid w:val="00EB6239"/>
    <w:rsid w:val="00EB6C35"/>
    <w:rsid w:val="00EB7648"/>
    <w:rsid w:val="00EC06E7"/>
    <w:rsid w:val="00EC492E"/>
    <w:rsid w:val="00ED431B"/>
    <w:rsid w:val="00EE2971"/>
    <w:rsid w:val="00EE4E20"/>
    <w:rsid w:val="00EE565E"/>
    <w:rsid w:val="00EE6167"/>
    <w:rsid w:val="00EE70A8"/>
    <w:rsid w:val="00EE7176"/>
    <w:rsid w:val="00EF0444"/>
    <w:rsid w:val="00EF1B82"/>
    <w:rsid w:val="00EF3125"/>
    <w:rsid w:val="00EF735D"/>
    <w:rsid w:val="00F00BA3"/>
    <w:rsid w:val="00F13244"/>
    <w:rsid w:val="00F150D5"/>
    <w:rsid w:val="00F151DF"/>
    <w:rsid w:val="00F15552"/>
    <w:rsid w:val="00F17B10"/>
    <w:rsid w:val="00F23AB5"/>
    <w:rsid w:val="00F24B26"/>
    <w:rsid w:val="00F25FDA"/>
    <w:rsid w:val="00F343C8"/>
    <w:rsid w:val="00F35BFD"/>
    <w:rsid w:val="00F437A5"/>
    <w:rsid w:val="00F43B46"/>
    <w:rsid w:val="00F45603"/>
    <w:rsid w:val="00F4561D"/>
    <w:rsid w:val="00F47C9E"/>
    <w:rsid w:val="00F519A5"/>
    <w:rsid w:val="00F5282F"/>
    <w:rsid w:val="00F53217"/>
    <w:rsid w:val="00F5529D"/>
    <w:rsid w:val="00F60939"/>
    <w:rsid w:val="00F60EF5"/>
    <w:rsid w:val="00F60F59"/>
    <w:rsid w:val="00F615B1"/>
    <w:rsid w:val="00F6392B"/>
    <w:rsid w:val="00F641F6"/>
    <w:rsid w:val="00F664AC"/>
    <w:rsid w:val="00F67470"/>
    <w:rsid w:val="00F70E7F"/>
    <w:rsid w:val="00F722E8"/>
    <w:rsid w:val="00F73A39"/>
    <w:rsid w:val="00F75905"/>
    <w:rsid w:val="00F760A0"/>
    <w:rsid w:val="00F84343"/>
    <w:rsid w:val="00F85005"/>
    <w:rsid w:val="00F91A22"/>
    <w:rsid w:val="00F92810"/>
    <w:rsid w:val="00F94E17"/>
    <w:rsid w:val="00F97E91"/>
    <w:rsid w:val="00FA17E9"/>
    <w:rsid w:val="00FA4793"/>
    <w:rsid w:val="00FA4842"/>
    <w:rsid w:val="00FA61B1"/>
    <w:rsid w:val="00FA6701"/>
    <w:rsid w:val="00FA782A"/>
    <w:rsid w:val="00FB2A88"/>
    <w:rsid w:val="00FB6DBA"/>
    <w:rsid w:val="00FB7062"/>
    <w:rsid w:val="00FB7DB2"/>
    <w:rsid w:val="00FC3EDE"/>
    <w:rsid w:val="00FC4725"/>
    <w:rsid w:val="00FC5B51"/>
    <w:rsid w:val="00FC7570"/>
    <w:rsid w:val="00FD0780"/>
    <w:rsid w:val="00FD15CF"/>
    <w:rsid w:val="00FD17F9"/>
    <w:rsid w:val="00FD2345"/>
    <w:rsid w:val="00FD3495"/>
    <w:rsid w:val="00FD4D03"/>
    <w:rsid w:val="00FD7059"/>
    <w:rsid w:val="00FE120E"/>
    <w:rsid w:val="00FE14E4"/>
    <w:rsid w:val="00FE3DE1"/>
    <w:rsid w:val="00FE6674"/>
    <w:rsid w:val="00FF108F"/>
    <w:rsid w:val="00FF4072"/>
    <w:rsid w:val="00FF609A"/>
    <w:rsid w:val="00FF6492"/>
    <w:rsid w:val="00FF6B6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CE18A"/>
  <w15:docId w15:val="{D2C7F902-7620-411D-8C25-D22045A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F6A"/>
    <w:pPr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B00F6A"/>
    <w:pPr>
      <w:keepNext/>
      <w:ind w:right="3401"/>
      <w:jc w:val="center"/>
      <w:outlineLvl w:val="0"/>
    </w:pPr>
    <w:rPr>
      <w:b/>
      <w:sz w:val="26"/>
      <w:lang w:val="en-AU"/>
    </w:rPr>
  </w:style>
  <w:style w:type="paragraph" w:styleId="Heading2">
    <w:name w:val="heading 2"/>
    <w:basedOn w:val="Normal"/>
    <w:next w:val="Normal"/>
    <w:qFormat/>
    <w:rsid w:val="00B00F6A"/>
    <w:pPr>
      <w:keepNext/>
      <w:ind w:right="14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00F6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00F6A"/>
    <w:pPr>
      <w:keepNext/>
      <w:ind w:right="340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00F6A"/>
    <w:pPr>
      <w:keepNext/>
      <w:tabs>
        <w:tab w:val="num" w:pos="1080"/>
      </w:tabs>
      <w:ind w:left="1080" w:hanging="720"/>
      <w:jc w:val="center"/>
      <w:outlineLvl w:val="4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0F6A"/>
  </w:style>
  <w:style w:type="character" w:customStyle="1" w:styleId="WW8Num1z1">
    <w:name w:val="WW8Num1z1"/>
    <w:rsid w:val="00B00F6A"/>
  </w:style>
  <w:style w:type="character" w:customStyle="1" w:styleId="WW8Num1z2">
    <w:name w:val="WW8Num1z2"/>
    <w:rsid w:val="00B00F6A"/>
  </w:style>
  <w:style w:type="character" w:customStyle="1" w:styleId="WW8Num1z3">
    <w:name w:val="WW8Num1z3"/>
    <w:rsid w:val="00B00F6A"/>
  </w:style>
  <w:style w:type="character" w:customStyle="1" w:styleId="WW8Num1z4">
    <w:name w:val="WW8Num1z4"/>
    <w:rsid w:val="00B00F6A"/>
  </w:style>
  <w:style w:type="character" w:customStyle="1" w:styleId="WW8Num1z5">
    <w:name w:val="WW8Num1z5"/>
    <w:rsid w:val="00B00F6A"/>
  </w:style>
  <w:style w:type="character" w:customStyle="1" w:styleId="WW8Num1z6">
    <w:name w:val="WW8Num1z6"/>
    <w:rsid w:val="00B00F6A"/>
  </w:style>
  <w:style w:type="character" w:customStyle="1" w:styleId="WW8Num1z7">
    <w:name w:val="WW8Num1z7"/>
    <w:rsid w:val="00B00F6A"/>
  </w:style>
  <w:style w:type="character" w:customStyle="1" w:styleId="WW8Num1z8">
    <w:name w:val="WW8Num1z8"/>
    <w:rsid w:val="00B00F6A"/>
  </w:style>
  <w:style w:type="character" w:customStyle="1" w:styleId="WW8Num2z0">
    <w:name w:val="WW8Num2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3z0">
    <w:name w:val="WW8Num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4z0">
    <w:name w:val="WW8Num4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5z0">
    <w:name w:val="WW8Num5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6z0">
    <w:name w:val="WW8Num6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7z0">
    <w:name w:val="WW8Num7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8z0">
    <w:name w:val="WW8Num8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9z0">
    <w:name w:val="WW8Num9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0z0">
    <w:name w:val="WW8Num10z0"/>
    <w:rsid w:val="00B00F6A"/>
    <w:rPr>
      <w:rFonts w:hint="default"/>
    </w:rPr>
  </w:style>
  <w:style w:type="character" w:customStyle="1" w:styleId="WW8Num11z0">
    <w:name w:val="WW8Num11z0"/>
    <w:rsid w:val="00B00F6A"/>
    <w:rPr>
      <w:rFonts w:ascii="Wingdings" w:hAnsi="Wingdings" w:cs="Wingdings" w:hint="default"/>
      <w:color w:val="000000"/>
      <w:szCs w:val="24"/>
      <w:lang w:val="hr-HR"/>
    </w:rPr>
  </w:style>
  <w:style w:type="character" w:customStyle="1" w:styleId="WW8Num12z0">
    <w:name w:val="WW8Num12z0"/>
    <w:rsid w:val="00B00F6A"/>
    <w:rPr>
      <w:rFonts w:hint="default"/>
      <w:bCs/>
      <w:szCs w:val="24"/>
      <w:lang w:val="hr-HR"/>
    </w:rPr>
  </w:style>
  <w:style w:type="character" w:customStyle="1" w:styleId="WW8Num13z0">
    <w:name w:val="WW8Num1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14z0">
    <w:name w:val="WW8Num14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15z0">
    <w:name w:val="WW8Num15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6z0">
    <w:name w:val="WW8Num16z0"/>
    <w:rsid w:val="00B00F6A"/>
    <w:rPr>
      <w:rFonts w:ascii="Symbol" w:hAnsi="Symbol" w:cs="OpenSymbol"/>
    </w:rPr>
  </w:style>
  <w:style w:type="character" w:customStyle="1" w:styleId="WW8Num16z1">
    <w:name w:val="WW8Num16z1"/>
    <w:rsid w:val="00B00F6A"/>
    <w:rPr>
      <w:rFonts w:ascii="OpenSymbol" w:hAnsi="OpenSymbol" w:cs="OpenSymbol"/>
    </w:rPr>
  </w:style>
  <w:style w:type="character" w:customStyle="1" w:styleId="WW8Num17z0">
    <w:name w:val="WW8Num17z0"/>
    <w:rsid w:val="00B00F6A"/>
    <w:rPr>
      <w:rFonts w:ascii="Symbol" w:hAnsi="Symbol" w:cs="OpenSymbol"/>
    </w:rPr>
  </w:style>
  <w:style w:type="character" w:customStyle="1" w:styleId="WW8Num17z1">
    <w:name w:val="WW8Num17z1"/>
    <w:rsid w:val="00B00F6A"/>
    <w:rPr>
      <w:rFonts w:ascii="OpenSymbol" w:hAnsi="OpenSymbol" w:cs="OpenSymbol"/>
    </w:rPr>
  </w:style>
  <w:style w:type="character" w:customStyle="1" w:styleId="WW8Num18z0">
    <w:name w:val="WW8Num18z0"/>
    <w:rsid w:val="00B00F6A"/>
    <w:rPr>
      <w:rFonts w:ascii="Symbol" w:hAnsi="Symbol" w:cs="OpenSymbol"/>
    </w:rPr>
  </w:style>
  <w:style w:type="character" w:customStyle="1" w:styleId="WW8Num18z1">
    <w:name w:val="WW8Num18z1"/>
    <w:rsid w:val="00B00F6A"/>
    <w:rPr>
      <w:rFonts w:ascii="OpenSymbol" w:hAnsi="OpenSymbol" w:cs="OpenSymbol"/>
    </w:rPr>
  </w:style>
  <w:style w:type="character" w:customStyle="1" w:styleId="WW8Num19z0">
    <w:name w:val="WW8Num19z0"/>
    <w:rsid w:val="00B00F6A"/>
    <w:rPr>
      <w:rFonts w:ascii="Wingdings" w:hAnsi="Wingdings" w:cs="Wingdings" w:hint="default"/>
    </w:rPr>
  </w:style>
  <w:style w:type="character" w:customStyle="1" w:styleId="WW8Num19z1">
    <w:name w:val="WW8Num19z1"/>
    <w:rsid w:val="00B00F6A"/>
    <w:rPr>
      <w:rFonts w:ascii="Courier New" w:hAnsi="Courier New" w:cs="Courier New" w:hint="default"/>
    </w:rPr>
  </w:style>
  <w:style w:type="character" w:customStyle="1" w:styleId="WW8Num19z3">
    <w:name w:val="WW8Num19z3"/>
    <w:rsid w:val="00B00F6A"/>
    <w:rPr>
      <w:rFonts w:ascii="Symbol" w:hAnsi="Symbol" w:cs="Symbol" w:hint="default"/>
    </w:rPr>
  </w:style>
  <w:style w:type="character" w:customStyle="1" w:styleId="WW8Num20z0">
    <w:name w:val="WW8Num20z0"/>
    <w:rsid w:val="00B00F6A"/>
    <w:rPr>
      <w:rFonts w:ascii="Wingdings" w:hAnsi="Wingdings" w:cs="Wingdings" w:hint="default"/>
    </w:rPr>
  </w:style>
  <w:style w:type="character" w:customStyle="1" w:styleId="WW8Num20z1">
    <w:name w:val="WW8Num20z1"/>
    <w:rsid w:val="00B00F6A"/>
    <w:rPr>
      <w:rFonts w:ascii="Courier New" w:hAnsi="Courier New" w:cs="Courier New" w:hint="default"/>
    </w:rPr>
  </w:style>
  <w:style w:type="character" w:customStyle="1" w:styleId="WW8Num20z3">
    <w:name w:val="WW8Num20z3"/>
    <w:rsid w:val="00B00F6A"/>
    <w:rPr>
      <w:rFonts w:ascii="Symbol" w:hAnsi="Symbol" w:cs="Symbol" w:hint="default"/>
    </w:rPr>
  </w:style>
  <w:style w:type="character" w:customStyle="1" w:styleId="WW8Num21z0">
    <w:name w:val="WW8Num21z0"/>
    <w:rsid w:val="00B00F6A"/>
    <w:rPr>
      <w:rFonts w:ascii="Wingdings" w:hAnsi="Wingdings" w:cs="Wingdings" w:hint="default"/>
    </w:rPr>
  </w:style>
  <w:style w:type="character" w:customStyle="1" w:styleId="WW8Num21z1">
    <w:name w:val="WW8Num21z1"/>
    <w:rsid w:val="00B00F6A"/>
    <w:rPr>
      <w:rFonts w:ascii="Courier New" w:hAnsi="Courier New" w:cs="Courier New" w:hint="default"/>
    </w:rPr>
  </w:style>
  <w:style w:type="character" w:customStyle="1" w:styleId="WW8Num21z3">
    <w:name w:val="WW8Num21z3"/>
    <w:rsid w:val="00B00F6A"/>
    <w:rPr>
      <w:rFonts w:ascii="Symbol" w:hAnsi="Symbol" w:cs="Symbol" w:hint="default"/>
    </w:rPr>
  </w:style>
  <w:style w:type="character" w:customStyle="1" w:styleId="WW8Num22z0">
    <w:name w:val="WW8Num2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2z1">
    <w:name w:val="WW8Num22z1"/>
    <w:rsid w:val="00B00F6A"/>
    <w:rPr>
      <w:rFonts w:ascii="Courier New" w:hAnsi="Courier New" w:cs="Courier New" w:hint="default"/>
    </w:rPr>
  </w:style>
  <w:style w:type="character" w:customStyle="1" w:styleId="WW8Num22z3">
    <w:name w:val="WW8Num22z3"/>
    <w:rsid w:val="00B00F6A"/>
    <w:rPr>
      <w:rFonts w:ascii="Symbol" w:hAnsi="Symbol" w:cs="Symbol" w:hint="default"/>
    </w:rPr>
  </w:style>
  <w:style w:type="character" w:customStyle="1" w:styleId="WW8Num23z0">
    <w:name w:val="WW8Num23z0"/>
    <w:rsid w:val="00B00F6A"/>
    <w:rPr>
      <w:rFonts w:ascii="Wingdings" w:hAnsi="Wingdings" w:cs="Wingdings" w:hint="default"/>
    </w:rPr>
  </w:style>
  <w:style w:type="character" w:customStyle="1" w:styleId="WW8Num23z1">
    <w:name w:val="WW8Num23z1"/>
    <w:rsid w:val="00B00F6A"/>
    <w:rPr>
      <w:rFonts w:ascii="Courier New" w:hAnsi="Courier New" w:cs="Courier New" w:hint="default"/>
    </w:rPr>
  </w:style>
  <w:style w:type="character" w:customStyle="1" w:styleId="WW8Num23z3">
    <w:name w:val="WW8Num23z3"/>
    <w:rsid w:val="00B00F6A"/>
    <w:rPr>
      <w:rFonts w:ascii="Symbol" w:hAnsi="Symbol" w:cs="Symbol" w:hint="default"/>
    </w:rPr>
  </w:style>
  <w:style w:type="character" w:customStyle="1" w:styleId="WW8Num24z0">
    <w:name w:val="WW8Num24z0"/>
    <w:rsid w:val="00B00F6A"/>
    <w:rPr>
      <w:rFonts w:ascii="Wingdings" w:hAnsi="Wingdings" w:cs="Wingdings" w:hint="default"/>
    </w:rPr>
  </w:style>
  <w:style w:type="character" w:customStyle="1" w:styleId="WW8Num24z1">
    <w:name w:val="WW8Num24z1"/>
    <w:rsid w:val="00B00F6A"/>
    <w:rPr>
      <w:rFonts w:ascii="Courier New" w:hAnsi="Courier New" w:cs="Courier New" w:hint="default"/>
    </w:rPr>
  </w:style>
  <w:style w:type="character" w:customStyle="1" w:styleId="WW8Num24z3">
    <w:name w:val="WW8Num24z3"/>
    <w:rsid w:val="00B00F6A"/>
    <w:rPr>
      <w:rFonts w:ascii="Symbol" w:hAnsi="Symbol" w:cs="Symbol" w:hint="default"/>
    </w:rPr>
  </w:style>
  <w:style w:type="character" w:customStyle="1" w:styleId="WW8Num25z0">
    <w:name w:val="WW8Num25z0"/>
    <w:rsid w:val="00B00F6A"/>
    <w:rPr>
      <w:rFonts w:ascii="Wingdings" w:hAnsi="Wingdings" w:cs="Wingdings" w:hint="default"/>
    </w:rPr>
  </w:style>
  <w:style w:type="character" w:customStyle="1" w:styleId="WW8Num25z1">
    <w:name w:val="WW8Num25z1"/>
    <w:rsid w:val="00B00F6A"/>
    <w:rPr>
      <w:rFonts w:ascii="Courier New" w:hAnsi="Courier New" w:cs="Courier New" w:hint="default"/>
    </w:rPr>
  </w:style>
  <w:style w:type="character" w:customStyle="1" w:styleId="WW8Num25z3">
    <w:name w:val="WW8Num25z3"/>
    <w:rsid w:val="00B00F6A"/>
    <w:rPr>
      <w:rFonts w:ascii="Symbol" w:hAnsi="Symbol" w:cs="Symbol" w:hint="default"/>
    </w:rPr>
  </w:style>
  <w:style w:type="character" w:customStyle="1" w:styleId="WW8Num26z0">
    <w:name w:val="WW8Num26z0"/>
    <w:rsid w:val="00B00F6A"/>
    <w:rPr>
      <w:rFonts w:ascii="Wingdings" w:hAnsi="Wingdings" w:cs="Wingdings" w:hint="default"/>
    </w:rPr>
  </w:style>
  <w:style w:type="character" w:customStyle="1" w:styleId="WW8Num26z1">
    <w:name w:val="WW8Num26z1"/>
    <w:rsid w:val="00B00F6A"/>
    <w:rPr>
      <w:rFonts w:ascii="Courier New" w:hAnsi="Courier New" w:cs="Courier New" w:hint="default"/>
    </w:rPr>
  </w:style>
  <w:style w:type="character" w:customStyle="1" w:styleId="WW8Num26z3">
    <w:name w:val="WW8Num26z3"/>
    <w:rsid w:val="00B00F6A"/>
    <w:rPr>
      <w:rFonts w:ascii="Symbol" w:hAnsi="Symbol" w:cs="Symbol" w:hint="default"/>
    </w:rPr>
  </w:style>
  <w:style w:type="character" w:customStyle="1" w:styleId="WW8Num27z0">
    <w:name w:val="WW8Num27z0"/>
    <w:rsid w:val="00B00F6A"/>
    <w:rPr>
      <w:rFonts w:ascii="Wingdings" w:hAnsi="Wingdings" w:cs="Wingdings" w:hint="default"/>
    </w:rPr>
  </w:style>
  <w:style w:type="character" w:customStyle="1" w:styleId="WW8Num27z1">
    <w:name w:val="WW8Num27z1"/>
    <w:rsid w:val="00B00F6A"/>
    <w:rPr>
      <w:rFonts w:ascii="Courier New" w:hAnsi="Courier New" w:cs="Courier New" w:hint="default"/>
    </w:rPr>
  </w:style>
  <w:style w:type="character" w:customStyle="1" w:styleId="WW8Num27z3">
    <w:name w:val="WW8Num27z3"/>
    <w:rsid w:val="00B00F6A"/>
    <w:rPr>
      <w:rFonts w:ascii="Symbol" w:hAnsi="Symbol" w:cs="Symbol" w:hint="default"/>
    </w:rPr>
  </w:style>
  <w:style w:type="character" w:customStyle="1" w:styleId="WW8Num28z0">
    <w:name w:val="WW8Num2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B00F6A"/>
    <w:rPr>
      <w:rFonts w:ascii="Courier New" w:hAnsi="Courier New" w:cs="Courier New" w:hint="default"/>
    </w:rPr>
  </w:style>
  <w:style w:type="character" w:customStyle="1" w:styleId="WW8Num28z3">
    <w:name w:val="WW8Num28z3"/>
    <w:rsid w:val="00B00F6A"/>
    <w:rPr>
      <w:rFonts w:ascii="Symbol" w:hAnsi="Symbol" w:cs="Symbol" w:hint="default"/>
    </w:rPr>
  </w:style>
  <w:style w:type="character" w:customStyle="1" w:styleId="WW8Num29z0">
    <w:name w:val="WW8Num29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B00F6A"/>
    <w:rPr>
      <w:rFonts w:ascii="Courier New" w:hAnsi="Courier New" w:cs="Courier New" w:hint="default"/>
    </w:rPr>
  </w:style>
  <w:style w:type="character" w:customStyle="1" w:styleId="WW8Num29z3">
    <w:name w:val="WW8Num29z3"/>
    <w:rsid w:val="00B00F6A"/>
    <w:rPr>
      <w:rFonts w:ascii="Symbol" w:hAnsi="Symbol" w:cs="Symbol" w:hint="default"/>
    </w:rPr>
  </w:style>
  <w:style w:type="character" w:customStyle="1" w:styleId="WW8Num30z0">
    <w:name w:val="WW8Num30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B00F6A"/>
    <w:rPr>
      <w:rFonts w:ascii="Courier New" w:hAnsi="Courier New" w:cs="Courier New" w:hint="default"/>
    </w:rPr>
  </w:style>
  <w:style w:type="character" w:customStyle="1" w:styleId="WW8Num30z2">
    <w:name w:val="WW8Num30z2"/>
    <w:rsid w:val="00B00F6A"/>
    <w:rPr>
      <w:rFonts w:ascii="Wingdings" w:hAnsi="Wingdings" w:cs="Wingdings" w:hint="default"/>
    </w:rPr>
  </w:style>
  <w:style w:type="character" w:customStyle="1" w:styleId="WW8Num30z3">
    <w:name w:val="WW8Num30z3"/>
    <w:rsid w:val="00B00F6A"/>
    <w:rPr>
      <w:rFonts w:ascii="Symbol" w:hAnsi="Symbol" w:cs="Symbol" w:hint="default"/>
    </w:rPr>
  </w:style>
  <w:style w:type="character" w:customStyle="1" w:styleId="WW8Num31z0">
    <w:name w:val="WW8Num31z0"/>
    <w:rsid w:val="00B00F6A"/>
    <w:rPr>
      <w:rFonts w:ascii="Wingdings" w:hAnsi="Wingdings" w:cs="Wingdings" w:hint="default"/>
    </w:rPr>
  </w:style>
  <w:style w:type="character" w:customStyle="1" w:styleId="WW8Num31z1">
    <w:name w:val="WW8Num31z1"/>
    <w:rsid w:val="00B00F6A"/>
    <w:rPr>
      <w:rFonts w:ascii="Courier New" w:hAnsi="Courier New" w:cs="Courier New" w:hint="default"/>
    </w:rPr>
  </w:style>
  <w:style w:type="character" w:customStyle="1" w:styleId="WW8Num31z3">
    <w:name w:val="WW8Num31z3"/>
    <w:rsid w:val="00B00F6A"/>
    <w:rPr>
      <w:rFonts w:ascii="Symbol" w:hAnsi="Symbol" w:cs="Symbol" w:hint="default"/>
    </w:rPr>
  </w:style>
  <w:style w:type="character" w:customStyle="1" w:styleId="WW8Num32z0">
    <w:name w:val="WW8Num3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B00F6A"/>
    <w:rPr>
      <w:rFonts w:ascii="Courier New" w:hAnsi="Courier New" w:cs="Courier New" w:hint="default"/>
    </w:rPr>
  </w:style>
  <w:style w:type="character" w:customStyle="1" w:styleId="WW8Num32z2">
    <w:name w:val="WW8Num32z2"/>
    <w:rsid w:val="00B00F6A"/>
    <w:rPr>
      <w:rFonts w:ascii="Wingdings" w:hAnsi="Wingdings" w:cs="Wingdings" w:hint="default"/>
    </w:rPr>
  </w:style>
  <w:style w:type="character" w:customStyle="1" w:styleId="WW8Num32z3">
    <w:name w:val="WW8Num32z3"/>
    <w:rsid w:val="00B00F6A"/>
    <w:rPr>
      <w:rFonts w:ascii="Symbol" w:hAnsi="Symbol" w:cs="Symbol" w:hint="default"/>
    </w:rPr>
  </w:style>
  <w:style w:type="character" w:customStyle="1" w:styleId="WW8Num33z0">
    <w:name w:val="WW8Num33z0"/>
    <w:rsid w:val="00B00F6A"/>
    <w:rPr>
      <w:rFonts w:ascii="Wingdings" w:hAnsi="Wingdings" w:cs="Wingdings" w:hint="default"/>
    </w:rPr>
  </w:style>
  <w:style w:type="character" w:customStyle="1" w:styleId="WW8Num33z1">
    <w:name w:val="WW8Num33z1"/>
    <w:rsid w:val="00B00F6A"/>
    <w:rPr>
      <w:rFonts w:ascii="Courier New" w:hAnsi="Courier New" w:cs="Courier New" w:hint="default"/>
    </w:rPr>
  </w:style>
  <w:style w:type="character" w:customStyle="1" w:styleId="WW8Num33z3">
    <w:name w:val="WW8Num33z3"/>
    <w:rsid w:val="00B00F6A"/>
    <w:rPr>
      <w:rFonts w:ascii="Symbol" w:hAnsi="Symbol" w:cs="Symbol" w:hint="default"/>
    </w:rPr>
  </w:style>
  <w:style w:type="character" w:customStyle="1" w:styleId="Zadanifontodlomka2">
    <w:name w:val="Zadani font odlomka2"/>
    <w:rsid w:val="00B00F6A"/>
  </w:style>
  <w:style w:type="character" w:customStyle="1" w:styleId="WW8Num2z1">
    <w:name w:val="WW8Num2z1"/>
    <w:rsid w:val="00B00F6A"/>
  </w:style>
  <w:style w:type="character" w:customStyle="1" w:styleId="WW8Num2z2">
    <w:name w:val="WW8Num2z2"/>
    <w:rsid w:val="00B00F6A"/>
  </w:style>
  <w:style w:type="character" w:customStyle="1" w:styleId="WW8Num2z3">
    <w:name w:val="WW8Num2z3"/>
    <w:rsid w:val="00B00F6A"/>
  </w:style>
  <w:style w:type="character" w:customStyle="1" w:styleId="WW8Num2z4">
    <w:name w:val="WW8Num2z4"/>
    <w:rsid w:val="00B00F6A"/>
  </w:style>
  <w:style w:type="character" w:customStyle="1" w:styleId="WW8Num2z5">
    <w:name w:val="WW8Num2z5"/>
    <w:rsid w:val="00B00F6A"/>
  </w:style>
  <w:style w:type="character" w:customStyle="1" w:styleId="WW8Num2z6">
    <w:name w:val="WW8Num2z6"/>
    <w:rsid w:val="00B00F6A"/>
  </w:style>
  <w:style w:type="character" w:customStyle="1" w:styleId="WW8Num2z7">
    <w:name w:val="WW8Num2z7"/>
    <w:rsid w:val="00B00F6A"/>
  </w:style>
  <w:style w:type="character" w:customStyle="1" w:styleId="WW8Num2z8">
    <w:name w:val="WW8Num2z8"/>
    <w:rsid w:val="00B00F6A"/>
  </w:style>
  <w:style w:type="character" w:customStyle="1" w:styleId="WW8Num3z1">
    <w:name w:val="WW8Num3z1"/>
    <w:rsid w:val="00B00F6A"/>
    <w:rPr>
      <w:rFonts w:ascii="Courier New" w:hAnsi="Courier New" w:cs="Courier New" w:hint="default"/>
    </w:rPr>
  </w:style>
  <w:style w:type="character" w:customStyle="1" w:styleId="WW8Num3z3">
    <w:name w:val="WW8Num3z3"/>
    <w:rsid w:val="00B00F6A"/>
    <w:rPr>
      <w:rFonts w:ascii="Symbol" w:hAnsi="Symbol" w:cs="Symbol" w:hint="default"/>
    </w:rPr>
  </w:style>
  <w:style w:type="character" w:customStyle="1" w:styleId="WW8Num4z1">
    <w:name w:val="WW8Num4z1"/>
    <w:rsid w:val="00B00F6A"/>
    <w:rPr>
      <w:rFonts w:ascii="Courier New" w:hAnsi="Courier New" w:cs="Courier New" w:hint="default"/>
    </w:rPr>
  </w:style>
  <w:style w:type="character" w:customStyle="1" w:styleId="WW8Num4z2">
    <w:name w:val="WW8Num4z2"/>
    <w:rsid w:val="00B00F6A"/>
    <w:rPr>
      <w:rFonts w:ascii="Wingdings" w:hAnsi="Wingdings" w:cs="Wingdings" w:hint="default"/>
    </w:rPr>
  </w:style>
  <w:style w:type="character" w:customStyle="1" w:styleId="WW8Num4z3">
    <w:name w:val="WW8Num4z3"/>
    <w:rsid w:val="00B00F6A"/>
    <w:rPr>
      <w:rFonts w:ascii="Symbol" w:hAnsi="Symbol" w:cs="Symbol" w:hint="default"/>
    </w:rPr>
  </w:style>
  <w:style w:type="character" w:customStyle="1" w:styleId="WW8Num5z1">
    <w:name w:val="WW8Num5z1"/>
    <w:rsid w:val="00B00F6A"/>
    <w:rPr>
      <w:rFonts w:ascii="Courier New" w:hAnsi="Courier New" w:cs="Courier New" w:hint="default"/>
    </w:rPr>
  </w:style>
  <w:style w:type="character" w:customStyle="1" w:styleId="WW8Num5z2">
    <w:name w:val="WW8Num5z2"/>
    <w:rsid w:val="00B00F6A"/>
    <w:rPr>
      <w:rFonts w:ascii="Wingdings" w:hAnsi="Wingdings" w:cs="Wingdings" w:hint="default"/>
    </w:rPr>
  </w:style>
  <w:style w:type="character" w:customStyle="1" w:styleId="WW8Num5z3">
    <w:name w:val="WW8Num5z3"/>
    <w:rsid w:val="00B00F6A"/>
    <w:rPr>
      <w:rFonts w:ascii="Symbol" w:hAnsi="Symbol" w:cs="Symbol" w:hint="default"/>
    </w:rPr>
  </w:style>
  <w:style w:type="character" w:customStyle="1" w:styleId="WW8Num6z1">
    <w:name w:val="WW8Num6z1"/>
    <w:rsid w:val="00B00F6A"/>
    <w:rPr>
      <w:rFonts w:ascii="Courier New" w:hAnsi="Courier New" w:cs="Courier New" w:hint="default"/>
    </w:rPr>
  </w:style>
  <w:style w:type="character" w:customStyle="1" w:styleId="WW8Num6z2">
    <w:name w:val="WW8Num6z2"/>
    <w:rsid w:val="00B00F6A"/>
    <w:rPr>
      <w:rFonts w:ascii="Wingdings" w:hAnsi="Wingdings" w:cs="Wingdings" w:hint="default"/>
    </w:rPr>
  </w:style>
  <w:style w:type="character" w:customStyle="1" w:styleId="WW8Num6z3">
    <w:name w:val="WW8Num6z3"/>
    <w:rsid w:val="00B00F6A"/>
    <w:rPr>
      <w:rFonts w:ascii="Symbol" w:hAnsi="Symbol" w:cs="Symbol" w:hint="default"/>
    </w:rPr>
  </w:style>
  <w:style w:type="character" w:customStyle="1" w:styleId="WW8Num8z1">
    <w:name w:val="WW8Num8z1"/>
    <w:rsid w:val="00B00F6A"/>
    <w:rPr>
      <w:rFonts w:ascii="Courier New" w:hAnsi="Courier New" w:cs="Courier New" w:hint="default"/>
    </w:rPr>
  </w:style>
  <w:style w:type="character" w:customStyle="1" w:styleId="WW8Num8z3">
    <w:name w:val="WW8Num8z3"/>
    <w:rsid w:val="00B00F6A"/>
    <w:rPr>
      <w:rFonts w:ascii="Symbol" w:hAnsi="Symbol" w:cs="Symbol" w:hint="default"/>
    </w:rPr>
  </w:style>
  <w:style w:type="character" w:customStyle="1" w:styleId="WW8Num9z1">
    <w:name w:val="WW8Num9z1"/>
    <w:rsid w:val="00B00F6A"/>
    <w:rPr>
      <w:rFonts w:ascii="Courier New" w:hAnsi="Courier New" w:cs="Courier New" w:hint="default"/>
    </w:rPr>
  </w:style>
  <w:style w:type="character" w:customStyle="1" w:styleId="WW8Num9z3">
    <w:name w:val="WW8Num9z3"/>
    <w:rsid w:val="00B00F6A"/>
    <w:rPr>
      <w:rFonts w:ascii="Symbol" w:hAnsi="Symbol" w:cs="Symbol" w:hint="default"/>
    </w:rPr>
  </w:style>
  <w:style w:type="character" w:customStyle="1" w:styleId="WW8Num10z1">
    <w:name w:val="WW8Num10z1"/>
    <w:rsid w:val="00B00F6A"/>
    <w:rPr>
      <w:rFonts w:ascii="Courier New" w:hAnsi="Courier New" w:cs="Courier New" w:hint="default"/>
    </w:rPr>
  </w:style>
  <w:style w:type="character" w:customStyle="1" w:styleId="WW8Num10z3">
    <w:name w:val="WW8Num10z3"/>
    <w:rsid w:val="00B00F6A"/>
    <w:rPr>
      <w:rFonts w:ascii="Symbol" w:hAnsi="Symbol" w:cs="Symbol" w:hint="default"/>
    </w:rPr>
  </w:style>
  <w:style w:type="character" w:customStyle="1" w:styleId="WW8Num11z1">
    <w:name w:val="WW8Num11z1"/>
    <w:rsid w:val="00B00F6A"/>
    <w:rPr>
      <w:rFonts w:ascii="Courier New" w:hAnsi="Courier New" w:cs="Courier New" w:hint="default"/>
    </w:rPr>
  </w:style>
  <w:style w:type="character" w:customStyle="1" w:styleId="WW8Num11z3">
    <w:name w:val="WW8Num11z3"/>
    <w:rsid w:val="00B00F6A"/>
    <w:rPr>
      <w:rFonts w:ascii="Symbol" w:hAnsi="Symbol" w:cs="Symbol" w:hint="default"/>
    </w:rPr>
  </w:style>
  <w:style w:type="character" w:customStyle="1" w:styleId="WW8Num12z1">
    <w:name w:val="WW8Num12z1"/>
    <w:rsid w:val="00B00F6A"/>
    <w:rPr>
      <w:rFonts w:ascii="Courier New" w:hAnsi="Courier New" w:cs="Courier New" w:hint="default"/>
    </w:rPr>
  </w:style>
  <w:style w:type="character" w:customStyle="1" w:styleId="WW8Num12z3">
    <w:name w:val="WW8Num12z3"/>
    <w:rsid w:val="00B00F6A"/>
    <w:rPr>
      <w:rFonts w:ascii="Symbol" w:hAnsi="Symbol" w:cs="Symbol" w:hint="default"/>
    </w:rPr>
  </w:style>
  <w:style w:type="character" w:customStyle="1" w:styleId="WW8Num13z1">
    <w:name w:val="WW8Num13z1"/>
    <w:rsid w:val="00B00F6A"/>
    <w:rPr>
      <w:rFonts w:ascii="Courier New" w:hAnsi="Courier New" w:cs="Courier New" w:hint="default"/>
    </w:rPr>
  </w:style>
  <w:style w:type="character" w:customStyle="1" w:styleId="WW8Num13z2">
    <w:name w:val="WW8Num13z2"/>
    <w:rsid w:val="00B00F6A"/>
    <w:rPr>
      <w:rFonts w:ascii="Wingdings" w:hAnsi="Wingdings" w:cs="Wingdings" w:hint="default"/>
    </w:rPr>
  </w:style>
  <w:style w:type="character" w:customStyle="1" w:styleId="WW8Num13z3">
    <w:name w:val="WW8Num13z3"/>
    <w:rsid w:val="00B00F6A"/>
    <w:rPr>
      <w:rFonts w:ascii="Symbol" w:hAnsi="Symbol" w:cs="Symbol" w:hint="default"/>
    </w:rPr>
  </w:style>
  <w:style w:type="character" w:customStyle="1" w:styleId="WW8Num14z1">
    <w:name w:val="WW8Num14z1"/>
    <w:rsid w:val="00B00F6A"/>
    <w:rPr>
      <w:rFonts w:ascii="Courier New" w:hAnsi="Courier New" w:cs="Courier New" w:hint="default"/>
    </w:rPr>
  </w:style>
  <w:style w:type="character" w:customStyle="1" w:styleId="WW8Num14z2">
    <w:name w:val="WW8Num14z2"/>
    <w:rsid w:val="00B00F6A"/>
    <w:rPr>
      <w:rFonts w:ascii="Wingdings" w:hAnsi="Wingdings" w:cs="Wingdings" w:hint="default"/>
    </w:rPr>
  </w:style>
  <w:style w:type="character" w:customStyle="1" w:styleId="WW8Num14z3">
    <w:name w:val="WW8Num14z3"/>
    <w:rsid w:val="00B00F6A"/>
    <w:rPr>
      <w:rFonts w:ascii="Symbol" w:hAnsi="Symbol" w:cs="Symbol" w:hint="default"/>
    </w:rPr>
  </w:style>
  <w:style w:type="character" w:customStyle="1" w:styleId="WW8Num15z1">
    <w:name w:val="WW8Num15z1"/>
    <w:rsid w:val="00B00F6A"/>
    <w:rPr>
      <w:rFonts w:ascii="Courier New" w:hAnsi="Courier New" w:cs="Courier New" w:hint="default"/>
    </w:rPr>
  </w:style>
  <w:style w:type="character" w:customStyle="1" w:styleId="WW8Num15z2">
    <w:name w:val="WW8Num15z2"/>
    <w:rsid w:val="00B00F6A"/>
    <w:rPr>
      <w:rFonts w:ascii="Wingdings" w:hAnsi="Wingdings" w:cs="Wingdings" w:hint="default"/>
    </w:rPr>
  </w:style>
  <w:style w:type="character" w:customStyle="1" w:styleId="WW8Num15z3">
    <w:name w:val="WW8Num15z3"/>
    <w:rsid w:val="00B00F6A"/>
    <w:rPr>
      <w:rFonts w:ascii="Symbol" w:hAnsi="Symbol" w:cs="Symbol" w:hint="default"/>
    </w:rPr>
  </w:style>
  <w:style w:type="character" w:customStyle="1" w:styleId="WW8Num16z3">
    <w:name w:val="WW8Num16z3"/>
    <w:rsid w:val="00B00F6A"/>
    <w:rPr>
      <w:rFonts w:ascii="Symbol" w:hAnsi="Symbol" w:cs="Symbol" w:hint="default"/>
    </w:rPr>
  </w:style>
  <w:style w:type="character" w:customStyle="1" w:styleId="WW8Num17z2">
    <w:name w:val="WW8Num17z2"/>
    <w:rsid w:val="00B00F6A"/>
    <w:rPr>
      <w:rFonts w:ascii="Wingdings" w:hAnsi="Wingdings" w:cs="Wingdings" w:hint="default"/>
    </w:rPr>
  </w:style>
  <w:style w:type="character" w:customStyle="1" w:styleId="WW8Num17z3">
    <w:name w:val="WW8Num17z3"/>
    <w:rsid w:val="00B00F6A"/>
    <w:rPr>
      <w:rFonts w:ascii="Symbol" w:hAnsi="Symbol" w:cs="Symbol" w:hint="default"/>
    </w:rPr>
  </w:style>
  <w:style w:type="character" w:customStyle="1" w:styleId="WW8Num18z3">
    <w:name w:val="WW8Num18z3"/>
    <w:rsid w:val="00B00F6A"/>
    <w:rPr>
      <w:rFonts w:ascii="Symbol" w:hAnsi="Symbol" w:cs="Symbol" w:hint="default"/>
    </w:rPr>
  </w:style>
  <w:style w:type="character" w:customStyle="1" w:styleId="WW8Num20z2">
    <w:name w:val="WW8Num20z2"/>
    <w:rsid w:val="00B00F6A"/>
    <w:rPr>
      <w:rFonts w:ascii="Wingdings" w:hAnsi="Wingdings" w:cs="Wingdings" w:hint="default"/>
    </w:rPr>
  </w:style>
  <w:style w:type="character" w:customStyle="1" w:styleId="WW8Num27z2">
    <w:name w:val="WW8Num27z2"/>
    <w:rsid w:val="00B00F6A"/>
  </w:style>
  <w:style w:type="character" w:customStyle="1" w:styleId="WW8Num27z4">
    <w:name w:val="WW8Num27z4"/>
    <w:rsid w:val="00B00F6A"/>
  </w:style>
  <w:style w:type="character" w:customStyle="1" w:styleId="WW8Num27z5">
    <w:name w:val="WW8Num27z5"/>
    <w:rsid w:val="00B00F6A"/>
  </w:style>
  <w:style w:type="character" w:customStyle="1" w:styleId="WW8Num27z6">
    <w:name w:val="WW8Num27z6"/>
    <w:rsid w:val="00B00F6A"/>
  </w:style>
  <w:style w:type="character" w:customStyle="1" w:styleId="WW8Num27z7">
    <w:name w:val="WW8Num27z7"/>
    <w:rsid w:val="00B00F6A"/>
  </w:style>
  <w:style w:type="character" w:customStyle="1" w:styleId="WW8Num27z8">
    <w:name w:val="WW8Num27z8"/>
    <w:rsid w:val="00B00F6A"/>
  </w:style>
  <w:style w:type="character" w:customStyle="1" w:styleId="WW8Num28z2">
    <w:name w:val="WW8Num28z2"/>
    <w:rsid w:val="00B00F6A"/>
  </w:style>
  <w:style w:type="character" w:customStyle="1" w:styleId="WW8Num28z4">
    <w:name w:val="WW8Num28z4"/>
    <w:rsid w:val="00B00F6A"/>
  </w:style>
  <w:style w:type="character" w:customStyle="1" w:styleId="WW8Num28z5">
    <w:name w:val="WW8Num28z5"/>
    <w:rsid w:val="00B00F6A"/>
  </w:style>
  <w:style w:type="character" w:customStyle="1" w:styleId="WW8Num28z6">
    <w:name w:val="WW8Num28z6"/>
    <w:rsid w:val="00B00F6A"/>
  </w:style>
  <w:style w:type="character" w:customStyle="1" w:styleId="WW8Num28z7">
    <w:name w:val="WW8Num28z7"/>
    <w:rsid w:val="00B00F6A"/>
  </w:style>
  <w:style w:type="character" w:customStyle="1" w:styleId="WW8Num28z8">
    <w:name w:val="WW8Num28z8"/>
    <w:rsid w:val="00B00F6A"/>
  </w:style>
  <w:style w:type="character" w:customStyle="1" w:styleId="WW8Num30z4">
    <w:name w:val="WW8Num30z4"/>
    <w:rsid w:val="00B00F6A"/>
  </w:style>
  <w:style w:type="character" w:customStyle="1" w:styleId="WW8Num30z5">
    <w:name w:val="WW8Num30z5"/>
    <w:rsid w:val="00B00F6A"/>
  </w:style>
  <w:style w:type="character" w:customStyle="1" w:styleId="WW8Num30z6">
    <w:name w:val="WW8Num30z6"/>
    <w:rsid w:val="00B00F6A"/>
  </w:style>
  <w:style w:type="character" w:customStyle="1" w:styleId="WW8Num30z7">
    <w:name w:val="WW8Num30z7"/>
    <w:rsid w:val="00B00F6A"/>
  </w:style>
  <w:style w:type="character" w:customStyle="1" w:styleId="WW8Num30z8">
    <w:name w:val="WW8Num30z8"/>
    <w:rsid w:val="00B00F6A"/>
  </w:style>
  <w:style w:type="character" w:customStyle="1" w:styleId="WW8Num33z2">
    <w:name w:val="WW8Num33z2"/>
    <w:rsid w:val="00B00F6A"/>
  </w:style>
  <w:style w:type="character" w:customStyle="1" w:styleId="WW8Num33z4">
    <w:name w:val="WW8Num33z4"/>
    <w:rsid w:val="00B00F6A"/>
  </w:style>
  <w:style w:type="character" w:customStyle="1" w:styleId="WW8Num33z5">
    <w:name w:val="WW8Num33z5"/>
    <w:rsid w:val="00B00F6A"/>
  </w:style>
  <w:style w:type="character" w:customStyle="1" w:styleId="WW8Num33z6">
    <w:name w:val="WW8Num33z6"/>
    <w:rsid w:val="00B00F6A"/>
  </w:style>
  <w:style w:type="character" w:customStyle="1" w:styleId="WW8Num33z7">
    <w:name w:val="WW8Num33z7"/>
    <w:rsid w:val="00B00F6A"/>
  </w:style>
  <w:style w:type="character" w:customStyle="1" w:styleId="WW8Num33z8">
    <w:name w:val="WW8Num33z8"/>
    <w:rsid w:val="00B00F6A"/>
  </w:style>
  <w:style w:type="character" w:customStyle="1" w:styleId="WW8Num34z0">
    <w:name w:val="WW8Num34z0"/>
    <w:rsid w:val="00B00F6A"/>
    <w:rPr>
      <w:rFonts w:ascii="Wingdings" w:hAnsi="Wingdings" w:cs="Wingdings" w:hint="default"/>
    </w:rPr>
  </w:style>
  <w:style w:type="character" w:customStyle="1" w:styleId="WW8Num34z1">
    <w:name w:val="WW8Num34z1"/>
    <w:rsid w:val="00B00F6A"/>
    <w:rPr>
      <w:rFonts w:ascii="Courier New" w:hAnsi="Courier New" w:cs="Courier New" w:hint="default"/>
    </w:rPr>
  </w:style>
  <w:style w:type="character" w:customStyle="1" w:styleId="WW8Num34z3">
    <w:name w:val="WW8Num34z3"/>
    <w:rsid w:val="00B00F6A"/>
    <w:rPr>
      <w:rFonts w:ascii="Symbol" w:hAnsi="Symbol" w:cs="Symbol" w:hint="default"/>
    </w:rPr>
  </w:style>
  <w:style w:type="character" w:customStyle="1" w:styleId="WW8Num35z0">
    <w:name w:val="WW8Num35z0"/>
    <w:rsid w:val="00B00F6A"/>
    <w:rPr>
      <w:rFonts w:ascii="Wingdings" w:hAnsi="Wingdings" w:cs="Wingdings" w:hint="default"/>
    </w:rPr>
  </w:style>
  <w:style w:type="character" w:customStyle="1" w:styleId="WW8Num35z1">
    <w:name w:val="WW8Num35z1"/>
    <w:rsid w:val="00B00F6A"/>
    <w:rPr>
      <w:rFonts w:ascii="Courier New" w:hAnsi="Courier New" w:cs="Courier New" w:hint="default"/>
    </w:rPr>
  </w:style>
  <w:style w:type="character" w:customStyle="1" w:styleId="WW8Num35z3">
    <w:name w:val="WW8Num35z3"/>
    <w:rsid w:val="00B00F6A"/>
    <w:rPr>
      <w:rFonts w:ascii="Symbol" w:hAnsi="Symbol" w:cs="Symbol" w:hint="default"/>
    </w:rPr>
  </w:style>
  <w:style w:type="character" w:customStyle="1" w:styleId="WW8Num36z0">
    <w:name w:val="WW8Num36z0"/>
    <w:rsid w:val="00B00F6A"/>
    <w:rPr>
      <w:rFonts w:hint="default"/>
    </w:rPr>
  </w:style>
  <w:style w:type="character" w:customStyle="1" w:styleId="WW8Num36z1">
    <w:name w:val="WW8Num36z1"/>
    <w:rsid w:val="00B00F6A"/>
  </w:style>
  <w:style w:type="character" w:customStyle="1" w:styleId="WW8Num36z2">
    <w:name w:val="WW8Num36z2"/>
    <w:rsid w:val="00B00F6A"/>
  </w:style>
  <w:style w:type="character" w:customStyle="1" w:styleId="WW8Num36z3">
    <w:name w:val="WW8Num36z3"/>
    <w:rsid w:val="00B00F6A"/>
  </w:style>
  <w:style w:type="character" w:customStyle="1" w:styleId="WW8Num36z4">
    <w:name w:val="WW8Num36z4"/>
    <w:rsid w:val="00B00F6A"/>
  </w:style>
  <w:style w:type="character" w:customStyle="1" w:styleId="WW8Num36z5">
    <w:name w:val="WW8Num36z5"/>
    <w:rsid w:val="00B00F6A"/>
  </w:style>
  <w:style w:type="character" w:customStyle="1" w:styleId="WW8Num36z6">
    <w:name w:val="WW8Num36z6"/>
    <w:rsid w:val="00B00F6A"/>
  </w:style>
  <w:style w:type="character" w:customStyle="1" w:styleId="WW8Num36z7">
    <w:name w:val="WW8Num36z7"/>
    <w:rsid w:val="00B00F6A"/>
  </w:style>
  <w:style w:type="character" w:customStyle="1" w:styleId="WW8Num36z8">
    <w:name w:val="WW8Num36z8"/>
    <w:rsid w:val="00B00F6A"/>
  </w:style>
  <w:style w:type="character" w:customStyle="1" w:styleId="WW8Num37z0">
    <w:name w:val="WW8Num37z0"/>
    <w:rsid w:val="00B00F6A"/>
    <w:rPr>
      <w:rFonts w:hint="default"/>
    </w:rPr>
  </w:style>
  <w:style w:type="character" w:customStyle="1" w:styleId="WW8Num37z1">
    <w:name w:val="WW8Num37z1"/>
    <w:rsid w:val="00B00F6A"/>
  </w:style>
  <w:style w:type="character" w:customStyle="1" w:styleId="WW8Num37z2">
    <w:name w:val="WW8Num37z2"/>
    <w:rsid w:val="00B00F6A"/>
  </w:style>
  <w:style w:type="character" w:customStyle="1" w:styleId="WW8Num37z3">
    <w:name w:val="WW8Num37z3"/>
    <w:rsid w:val="00B00F6A"/>
  </w:style>
  <w:style w:type="character" w:customStyle="1" w:styleId="WW8Num37z4">
    <w:name w:val="WW8Num37z4"/>
    <w:rsid w:val="00B00F6A"/>
  </w:style>
  <w:style w:type="character" w:customStyle="1" w:styleId="WW8Num37z5">
    <w:name w:val="WW8Num37z5"/>
    <w:rsid w:val="00B00F6A"/>
  </w:style>
  <w:style w:type="character" w:customStyle="1" w:styleId="WW8Num37z6">
    <w:name w:val="WW8Num37z6"/>
    <w:rsid w:val="00B00F6A"/>
  </w:style>
  <w:style w:type="character" w:customStyle="1" w:styleId="WW8Num37z7">
    <w:name w:val="WW8Num37z7"/>
    <w:rsid w:val="00B00F6A"/>
  </w:style>
  <w:style w:type="character" w:customStyle="1" w:styleId="WW8Num37z8">
    <w:name w:val="WW8Num37z8"/>
    <w:rsid w:val="00B00F6A"/>
  </w:style>
  <w:style w:type="character" w:customStyle="1" w:styleId="WW8Num38z0">
    <w:name w:val="WW8Num3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B00F6A"/>
    <w:rPr>
      <w:rFonts w:ascii="Courier New" w:hAnsi="Courier New" w:cs="Courier New" w:hint="default"/>
    </w:rPr>
  </w:style>
  <w:style w:type="character" w:customStyle="1" w:styleId="WW8Num38z3">
    <w:name w:val="WW8Num38z3"/>
    <w:rsid w:val="00B00F6A"/>
    <w:rPr>
      <w:rFonts w:ascii="Symbol" w:hAnsi="Symbol" w:cs="Symbol" w:hint="default"/>
    </w:rPr>
  </w:style>
  <w:style w:type="character" w:customStyle="1" w:styleId="WW8Num39z0">
    <w:name w:val="WW8Num39z0"/>
    <w:rsid w:val="00B00F6A"/>
    <w:rPr>
      <w:rFonts w:ascii="Wingdings" w:hAnsi="Wingdings" w:cs="Wingdings" w:hint="default"/>
    </w:rPr>
  </w:style>
  <w:style w:type="character" w:customStyle="1" w:styleId="WW8Num39z1">
    <w:name w:val="WW8Num39z1"/>
    <w:rsid w:val="00B00F6A"/>
    <w:rPr>
      <w:rFonts w:ascii="Courier New" w:hAnsi="Courier New" w:cs="Courier New" w:hint="default"/>
    </w:rPr>
  </w:style>
  <w:style w:type="character" w:customStyle="1" w:styleId="WW8Num39z3">
    <w:name w:val="WW8Num39z3"/>
    <w:rsid w:val="00B00F6A"/>
    <w:rPr>
      <w:rFonts w:ascii="Symbol" w:hAnsi="Symbol" w:cs="Symbol" w:hint="default"/>
    </w:rPr>
  </w:style>
  <w:style w:type="character" w:customStyle="1" w:styleId="WW8Num40z0">
    <w:name w:val="WW8Num40z0"/>
    <w:rsid w:val="00B00F6A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B00F6A"/>
    <w:rPr>
      <w:rFonts w:ascii="Courier New" w:hAnsi="Courier New" w:cs="Courier New" w:hint="default"/>
    </w:rPr>
  </w:style>
  <w:style w:type="character" w:customStyle="1" w:styleId="WW8Num40z2">
    <w:name w:val="WW8Num40z2"/>
    <w:rsid w:val="00B00F6A"/>
    <w:rPr>
      <w:rFonts w:ascii="Wingdings" w:hAnsi="Wingdings" w:cs="Wingdings" w:hint="default"/>
    </w:rPr>
  </w:style>
  <w:style w:type="character" w:customStyle="1" w:styleId="WW8Num40z3">
    <w:name w:val="WW8Num40z3"/>
    <w:rsid w:val="00B00F6A"/>
    <w:rPr>
      <w:rFonts w:ascii="Symbol" w:hAnsi="Symbol" w:cs="Symbol" w:hint="default"/>
    </w:rPr>
  </w:style>
  <w:style w:type="character" w:customStyle="1" w:styleId="WW8Num41z0">
    <w:name w:val="WW8Num41z0"/>
    <w:rsid w:val="00B00F6A"/>
    <w:rPr>
      <w:rFonts w:hint="default"/>
    </w:rPr>
  </w:style>
  <w:style w:type="character" w:customStyle="1" w:styleId="WW8Num41z1">
    <w:name w:val="WW8Num41z1"/>
    <w:rsid w:val="00B00F6A"/>
  </w:style>
  <w:style w:type="character" w:customStyle="1" w:styleId="WW8Num41z2">
    <w:name w:val="WW8Num41z2"/>
    <w:rsid w:val="00B00F6A"/>
  </w:style>
  <w:style w:type="character" w:customStyle="1" w:styleId="WW8Num41z3">
    <w:name w:val="WW8Num41z3"/>
    <w:rsid w:val="00B00F6A"/>
  </w:style>
  <w:style w:type="character" w:customStyle="1" w:styleId="WW8Num41z4">
    <w:name w:val="WW8Num41z4"/>
    <w:rsid w:val="00B00F6A"/>
  </w:style>
  <w:style w:type="character" w:customStyle="1" w:styleId="WW8Num41z5">
    <w:name w:val="WW8Num41z5"/>
    <w:rsid w:val="00B00F6A"/>
  </w:style>
  <w:style w:type="character" w:customStyle="1" w:styleId="WW8Num41z6">
    <w:name w:val="WW8Num41z6"/>
    <w:rsid w:val="00B00F6A"/>
  </w:style>
  <w:style w:type="character" w:customStyle="1" w:styleId="WW8Num41z7">
    <w:name w:val="WW8Num41z7"/>
    <w:rsid w:val="00B00F6A"/>
  </w:style>
  <w:style w:type="character" w:customStyle="1" w:styleId="WW8Num41z8">
    <w:name w:val="WW8Num41z8"/>
    <w:rsid w:val="00B00F6A"/>
  </w:style>
  <w:style w:type="character" w:customStyle="1" w:styleId="WW8Num42z0">
    <w:name w:val="WW8Num42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B00F6A"/>
    <w:rPr>
      <w:rFonts w:ascii="Courier New" w:hAnsi="Courier New" w:cs="Courier New" w:hint="default"/>
    </w:rPr>
  </w:style>
  <w:style w:type="character" w:customStyle="1" w:styleId="WW8Num42z2">
    <w:name w:val="WW8Num42z2"/>
    <w:rsid w:val="00B00F6A"/>
    <w:rPr>
      <w:rFonts w:ascii="Wingdings" w:hAnsi="Wingdings" w:cs="Wingdings" w:hint="default"/>
    </w:rPr>
  </w:style>
  <w:style w:type="character" w:customStyle="1" w:styleId="WW8Num42z3">
    <w:name w:val="WW8Num42z3"/>
    <w:rsid w:val="00B00F6A"/>
    <w:rPr>
      <w:rFonts w:ascii="Symbol" w:hAnsi="Symbol" w:cs="Symbol" w:hint="default"/>
    </w:rPr>
  </w:style>
  <w:style w:type="character" w:customStyle="1" w:styleId="WW8Num43z0">
    <w:name w:val="WW8Num43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B00F6A"/>
    <w:rPr>
      <w:rFonts w:ascii="Courier New" w:hAnsi="Courier New" w:cs="Courier New" w:hint="default"/>
    </w:rPr>
  </w:style>
  <w:style w:type="character" w:customStyle="1" w:styleId="WW8Num43z2">
    <w:name w:val="WW8Num43z2"/>
    <w:rsid w:val="00B00F6A"/>
    <w:rPr>
      <w:rFonts w:ascii="Wingdings" w:hAnsi="Wingdings" w:cs="Wingdings" w:hint="default"/>
    </w:rPr>
  </w:style>
  <w:style w:type="character" w:customStyle="1" w:styleId="WW8Num43z3">
    <w:name w:val="WW8Num43z3"/>
    <w:rsid w:val="00B00F6A"/>
    <w:rPr>
      <w:rFonts w:ascii="Symbol" w:hAnsi="Symbol" w:cs="Symbol" w:hint="default"/>
    </w:rPr>
  </w:style>
  <w:style w:type="character" w:customStyle="1" w:styleId="WW8Num44z0">
    <w:name w:val="WW8Num44z0"/>
    <w:rsid w:val="00B00F6A"/>
    <w:rPr>
      <w:rFonts w:ascii="Wingdings" w:hAnsi="Wingdings" w:cs="Wingdings" w:hint="default"/>
    </w:rPr>
  </w:style>
  <w:style w:type="character" w:customStyle="1" w:styleId="WW8Num44z1">
    <w:name w:val="WW8Num44z1"/>
    <w:rsid w:val="00B00F6A"/>
    <w:rPr>
      <w:rFonts w:ascii="Courier New" w:hAnsi="Courier New" w:cs="Courier New" w:hint="default"/>
    </w:rPr>
  </w:style>
  <w:style w:type="character" w:customStyle="1" w:styleId="WW8Num44z3">
    <w:name w:val="WW8Num44z3"/>
    <w:rsid w:val="00B00F6A"/>
    <w:rPr>
      <w:rFonts w:ascii="Symbol" w:hAnsi="Symbol" w:cs="Symbol" w:hint="default"/>
    </w:rPr>
  </w:style>
  <w:style w:type="character" w:customStyle="1" w:styleId="Zadanifontodlomka1">
    <w:name w:val="Zadani font odlomka1"/>
    <w:rsid w:val="00B00F6A"/>
  </w:style>
  <w:style w:type="character" w:customStyle="1" w:styleId="Tijeloteksta2Char">
    <w:name w:val="Tijelo teksta 2 Char"/>
    <w:rsid w:val="00B00F6A"/>
    <w:rPr>
      <w:b/>
      <w:sz w:val="24"/>
      <w:lang w:val="en-US"/>
    </w:rPr>
  </w:style>
  <w:style w:type="character" w:customStyle="1" w:styleId="FontStyle11">
    <w:name w:val="Font Style11"/>
    <w:rsid w:val="00B00F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B00F6A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TekstbaloniaChar">
    <w:name w:val="Tekst balončića Char"/>
    <w:rsid w:val="00B00F6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rsid w:val="00B00F6A"/>
    <w:rPr>
      <w:color w:val="0563C1"/>
      <w:u w:val="single"/>
    </w:rPr>
  </w:style>
  <w:style w:type="character" w:customStyle="1" w:styleId="ZaglavljeChar">
    <w:name w:val="Zaglavlje Char"/>
    <w:rsid w:val="00B00F6A"/>
    <w:rPr>
      <w:sz w:val="24"/>
      <w:lang w:val="en-US"/>
    </w:rPr>
  </w:style>
  <w:style w:type="character" w:customStyle="1" w:styleId="PodnojeChar">
    <w:name w:val="Podnožje Char"/>
    <w:uiPriority w:val="99"/>
    <w:rsid w:val="00B00F6A"/>
    <w:rPr>
      <w:sz w:val="24"/>
      <w:lang w:val="en-US"/>
    </w:rPr>
  </w:style>
  <w:style w:type="character" w:customStyle="1" w:styleId="Grafikeoznake1">
    <w:name w:val="Grafičke oznake1"/>
    <w:rsid w:val="00B00F6A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rsid w:val="00B00F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00F6A"/>
    <w:pPr>
      <w:jc w:val="both"/>
    </w:pPr>
  </w:style>
  <w:style w:type="paragraph" w:styleId="List">
    <w:name w:val="List"/>
    <w:basedOn w:val="BodyText"/>
    <w:rsid w:val="00B00F6A"/>
    <w:rPr>
      <w:rFonts w:cs="Arial"/>
    </w:rPr>
  </w:style>
  <w:style w:type="paragraph" w:styleId="Caption">
    <w:name w:val="caption"/>
    <w:basedOn w:val="Normal"/>
    <w:qFormat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B00F6A"/>
    <w:pPr>
      <w:suppressLineNumbers/>
    </w:pPr>
    <w:rPr>
      <w:rFonts w:cs="Arial"/>
    </w:rPr>
  </w:style>
  <w:style w:type="paragraph" w:customStyle="1" w:styleId="Opisslike2">
    <w:name w:val="Opis slike2"/>
    <w:basedOn w:val="Normal"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Opisslike1">
    <w:name w:val="Opis slike1"/>
    <w:basedOn w:val="Normal"/>
    <w:next w:val="Normal"/>
    <w:rsid w:val="00B00F6A"/>
    <w:pPr>
      <w:ind w:right="3401"/>
      <w:jc w:val="center"/>
    </w:pPr>
    <w:rPr>
      <w:b/>
      <w:spacing w:val="4"/>
      <w:sz w:val="28"/>
      <w:lang w:val="en-AU"/>
    </w:rPr>
  </w:style>
  <w:style w:type="paragraph" w:customStyle="1" w:styleId="Tijeloteksta21">
    <w:name w:val="Tijelo teksta 21"/>
    <w:basedOn w:val="Normal"/>
    <w:rsid w:val="00B00F6A"/>
    <w:pPr>
      <w:jc w:val="both"/>
    </w:pPr>
    <w:rPr>
      <w:b/>
    </w:rPr>
  </w:style>
  <w:style w:type="paragraph" w:styleId="BodyTextIndent">
    <w:name w:val="Body Text Indent"/>
    <w:basedOn w:val="Normal"/>
    <w:rsid w:val="00B00F6A"/>
    <w:pPr>
      <w:ind w:firstLine="720"/>
      <w:jc w:val="both"/>
    </w:pPr>
    <w:rPr>
      <w:b/>
    </w:rPr>
  </w:style>
  <w:style w:type="paragraph" w:customStyle="1" w:styleId="Tijeloteksta-uvlaka21">
    <w:name w:val="Tijelo teksta - uvlaka 21"/>
    <w:basedOn w:val="Normal"/>
    <w:rsid w:val="00B00F6A"/>
    <w:pPr>
      <w:ind w:firstLine="720"/>
    </w:pPr>
    <w:rPr>
      <w:b/>
      <w:lang w:val="hr-HR"/>
    </w:rPr>
  </w:style>
  <w:style w:type="paragraph" w:customStyle="1" w:styleId="Style2">
    <w:name w:val="Style2"/>
    <w:basedOn w:val="Normal"/>
    <w:rsid w:val="00B00F6A"/>
    <w:pPr>
      <w:widowControl w:val="0"/>
      <w:autoSpaceDE w:val="0"/>
      <w:spacing w:line="278" w:lineRule="exact"/>
    </w:pPr>
    <w:rPr>
      <w:szCs w:val="24"/>
      <w:lang w:val="hr-HR"/>
    </w:rPr>
  </w:style>
  <w:style w:type="paragraph" w:customStyle="1" w:styleId="Style3">
    <w:name w:val="Style3"/>
    <w:basedOn w:val="Normal"/>
    <w:rsid w:val="00B00F6A"/>
    <w:pPr>
      <w:widowControl w:val="0"/>
      <w:autoSpaceDE w:val="0"/>
      <w:jc w:val="both"/>
    </w:pPr>
    <w:rPr>
      <w:szCs w:val="24"/>
      <w:lang w:val="hr-HR"/>
    </w:rPr>
  </w:style>
  <w:style w:type="paragraph" w:customStyle="1" w:styleId="Style4">
    <w:name w:val="Style4"/>
    <w:basedOn w:val="Normal"/>
    <w:rsid w:val="00B00F6A"/>
    <w:pPr>
      <w:widowControl w:val="0"/>
      <w:autoSpaceDE w:val="0"/>
      <w:spacing w:line="276" w:lineRule="exact"/>
      <w:ind w:hanging="1183"/>
    </w:pPr>
    <w:rPr>
      <w:szCs w:val="24"/>
      <w:lang w:val="hr-HR"/>
    </w:rPr>
  </w:style>
  <w:style w:type="paragraph" w:customStyle="1" w:styleId="Style5">
    <w:name w:val="Style5"/>
    <w:basedOn w:val="Normal"/>
    <w:rsid w:val="00B00F6A"/>
    <w:pPr>
      <w:widowControl w:val="0"/>
      <w:autoSpaceDE w:val="0"/>
      <w:spacing w:line="278" w:lineRule="exact"/>
      <w:ind w:firstLine="708"/>
      <w:jc w:val="both"/>
    </w:pPr>
    <w:rPr>
      <w:szCs w:val="24"/>
      <w:lang w:val="hr-HR"/>
    </w:rPr>
  </w:style>
  <w:style w:type="paragraph" w:customStyle="1" w:styleId="Style6">
    <w:name w:val="Style6"/>
    <w:basedOn w:val="Normal"/>
    <w:rsid w:val="00B00F6A"/>
    <w:pPr>
      <w:widowControl w:val="0"/>
      <w:autoSpaceDE w:val="0"/>
      <w:spacing w:line="280" w:lineRule="exact"/>
      <w:ind w:hanging="389"/>
    </w:pPr>
    <w:rPr>
      <w:szCs w:val="24"/>
      <w:lang w:val="hr-HR"/>
    </w:rPr>
  </w:style>
  <w:style w:type="paragraph" w:customStyle="1" w:styleId="Style8">
    <w:name w:val="Style8"/>
    <w:basedOn w:val="Normal"/>
    <w:rsid w:val="00B00F6A"/>
    <w:pPr>
      <w:widowControl w:val="0"/>
      <w:autoSpaceDE w:val="0"/>
      <w:spacing w:line="281" w:lineRule="exact"/>
      <w:jc w:val="both"/>
    </w:pPr>
    <w:rPr>
      <w:szCs w:val="24"/>
      <w:lang w:val="hr-HR"/>
    </w:rPr>
  </w:style>
  <w:style w:type="paragraph" w:styleId="BalloonText">
    <w:name w:val="Balloon Text"/>
    <w:basedOn w:val="Normal"/>
    <w:rsid w:val="00B00F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F6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B00F6A"/>
    <w:pPr>
      <w:ind w:left="720"/>
      <w:contextualSpacing/>
    </w:pPr>
    <w:rPr>
      <w:szCs w:val="24"/>
      <w:lang w:val="hr-HR"/>
    </w:rPr>
  </w:style>
  <w:style w:type="paragraph" w:styleId="NoSpacing">
    <w:name w:val="No Spacing"/>
    <w:qFormat/>
    <w:rsid w:val="00B00F6A"/>
    <w:pPr>
      <w:suppressAutoHyphens/>
    </w:pPr>
    <w:rPr>
      <w:sz w:val="24"/>
      <w:lang w:val="en-US" w:eastAsia="zh-CN"/>
    </w:rPr>
  </w:style>
  <w:style w:type="paragraph" w:styleId="Header">
    <w:name w:val="header"/>
    <w:basedOn w:val="Normal"/>
    <w:link w:val="HeaderChar"/>
    <w:uiPriority w:val="99"/>
    <w:rsid w:val="00B00F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B00F6A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rsid w:val="00B00F6A"/>
  </w:style>
  <w:style w:type="paragraph" w:customStyle="1" w:styleId="Sadrajitablice">
    <w:name w:val="Sadržaji tablice"/>
    <w:basedOn w:val="Normal"/>
    <w:rsid w:val="00B00F6A"/>
    <w:pPr>
      <w:suppressLineNumbers/>
    </w:pPr>
  </w:style>
  <w:style w:type="paragraph" w:customStyle="1" w:styleId="Naslovtablice">
    <w:name w:val="Naslov tablice"/>
    <w:basedOn w:val="Sadrajitablice"/>
    <w:rsid w:val="00B00F6A"/>
    <w:pPr>
      <w:jc w:val="center"/>
    </w:pPr>
    <w:rPr>
      <w:b/>
      <w:bCs/>
    </w:rPr>
  </w:style>
  <w:style w:type="table" w:customStyle="1" w:styleId="Tablicapopisa4-isticanje31">
    <w:name w:val="Tablica popisa 4 - isticanje 31"/>
    <w:basedOn w:val="TableNormal"/>
    <w:uiPriority w:val="49"/>
    <w:rsid w:val="00E9492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TableNormal"/>
    <w:uiPriority w:val="49"/>
    <w:rsid w:val="006E1AE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Grid">
    <w:name w:val="Table Grid"/>
    <w:basedOn w:val="TableNormal"/>
    <w:uiPriority w:val="39"/>
    <w:rsid w:val="009D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TableNormal"/>
    <w:uiPriority w:val="46"/>
    <w:rsid w:val="001A347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TableNormal"/>
    <w:uiPriority w:val="45"/>
    <w:rsid w:val="0016446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9704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54A6D"/>
    <w:rPr>
      <w:color w:val="800080"/>
      <w:u w:val="single"/>
    </w:rPr>
  </w:style>
  <w:style w:type="paragraph" w:customStyle="1" w:styleId="xl66">
    <w:name w:val="xl66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69">
    <w:name w:val="xl69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0">
    <w:name w:val="xl70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CE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2">
    <w:name w:val="xl72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5">
    <w:name w:val="xl75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6">
    <w:name w:val="xl76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8">
    <w:name w:val="xl78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9">
    <w:name w:val="xl79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0">
    <w:name w:val="xl80"/>
    <w:basedOn w:val="Normal"/>
    <w:rsid w:val="0015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35FF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E7176"/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F7AB-A41B-432A-B7DD-5979AD32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4178</Words>
  <Characters>23817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subject/>
  <dc:creator>Damir Krejcir</dc:creator>
  <cp:keywords/>
  <cp:lastModifiedBy>Mario</cp:lastModifiedBy>
  <cp:revision>16</cp:revision>
  <cp:lastPrinted>2021-12-09T06:15:00Z</cp:lastPrinted>
  <dcterms:created xsi:type="dcterms:W3CDTF">2021-12-09T06:05:00Z</dcterms:created>
  <dcterms:modified xsi:type="dcterms:W3CDTF">2021-12-09T15:22:00Z</dcterms:modified>
</cp:coreProperties>
</file>