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931E9B" w14:paraId="3F9DB858" w14:textId="77777777" w:rsidTr="00B0593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69B033F3" w:rsidR="00AD109A" w:rsidRPr="00A320F2" w:rsidRDefault="00D17353" w:rsidP="00B0593E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28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7B5DB6E2" w:rsidR="00AD109A" w:rsidRPr="00A320F2" w:rsidRDefault="00AD109A" w:rsidP="00B0593E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5A5B5D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9</w:t>
            </w:r>
            <w:r w:rsidR="003630A6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5C60BA" w14:textId="77777777" w:rsidR="00AF6702" w:rsidRPr="00A320F2" w:rsidRDefault="00AF6702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27C5D921" w:rsidR="00AD109A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D17353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29D63E0C" w14:textId="302B0E7F" w:rsidR="00100C3F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</w:pPr>
            <w:r w:rsidRPr="00A320F2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A320F2"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1E89DA12" w:rsidR="00AD109A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94D71" w:rsidRPr="00A320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A320F2" w:rsidRDefault="00AD109A" w:rsidP="00B0593E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A320F2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A320F2" w:rsidRDefault="00694D71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A320F2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C103628" w14:textId="77777777" w:rsidR="00EC3E78" w:rsidRPr="00A320F2" w:rsidRDefault="00EC3E78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A320F2" w:rsidRDefault="006B6C2D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A320F2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B30A31" w14:textId="77777777" w:rsidR="00AF6702" w:rsidRPr="00A320F2" w:rsidRDefault="00AF6702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A320F2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931E9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F8ABA54" w14:textId="77777777" w:rsidR="00AD109A" w:rsidRPr="00931E9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2D34F80" w14:textId="16A93321" w:rsidR="00AD109A" w:rsidRPr="00931E9B" w:rsidRDefault="00501044" w:rsidP="00D17353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S</w:t>
            </w:r>
            <w:r w:rsidR="00D17353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vibanj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 202</w:t>
            </w:r>
            <w:r w:rsidR="00D17353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38AEA34E" w14:textId="45298981" w:rsidR="00EC3E78" w:rsidRPr="00A320F2" w:rsidRDefault="00EC3E78" w:rsidP="00EC3E78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169F37B" wp14:editId="7DC05FAC">
            <wp:extent cx="314325" cy="428625"/>
            <wp:effectExtent l="0" t="0" r="9525" b="9525"/>
            <wp:docPr id="93822549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25495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B736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2705E39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BDB6EBF" w14:textId="64F17316" w:rsidR="00EC3E78" w:rsidRPr="00931E9B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4384" behindDoc="0" locked="0" layoutInCell="1" allowOverlap="1" wp14:anchorId="277C2A27" wp14:editId="3B2DBE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4046370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6370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3C347E83" w14:textId="71E6D932" w:rsidR="00EC3E78" w:rsidRPr="00931E9B" w:rsidRDefault="00D17353" w:rsidP="00EC3E78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bookmarkEnd w:id="0"/>
    <w:p w14:paraId="17ED4F07" w14:textId="7105816D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7CB9A133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</w:t>
      </w:r>
    </w:p>
    <w:p w14:paraId="2C36D3D3" w14:textId="0E0CC823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8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svibnja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A320F2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98134DE" w14:textId="0BD85B9C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CD60689" w14:textId="1B66A8CE" w:rsidR="00AD109A" w:rsidRPr="00A320F2" w:rsidRDefault="00AD109A" w:rsidP="00C16BDF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3B0C1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4C66B942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dostavlja se Naslovu na razmatranje i usvajanje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3ECA22E8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., 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" w:name="_Hlk83193608"/>
      <w:bookmarkStart w:id="2" w:name="_Hlk511381415"/>
      <w:bookmarkStart w:id="3" w:name="_Hlk524329035"/>
      <w:bookmarkStart w:id="4" w:name="_Hlk499303751"/>
    </w:p>
    <w:p w14:paraId="331E190E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5" w:name="_Hlk152703179"/>
      <w:bookmarkEnd w:id="1"/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02B7C4AC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501044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5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bookmarkEnd w:id="3"/>
    <w:p w14:paraId="4104E1D1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2620EE" w14:textId="503D71DC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CA1C21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EC3E78">
      <w:pPr>
        <w:spacing w:line="276" w:lineRule="auto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B4319EC" w:rsidR="0040199B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7C3BBFD0" w14:textId="77777777" w:rsidR="00AF6702" w:rsidRDefault="00D17353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javnih potreba 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2024. godinu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20/23.)</w:t>
      </w:r>
      <w:r w:rsidR="00AF670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6EB927EC" w14:textId="05D29F73" w:rsidR="0040199B" w:rsidRPr="00A320F2" w:rsidRDefault="0040199B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8AB2B40" w14:textId="04B2DCCF" w:rsidR="00EC3E78" w:rsidRPr="00A320F2" w:rsidRDefault="00EC3E78" w:rsidP="00EC3E78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268C71A" wp14:editId="543E86A6">
            <wp:extent cx="314325" cy="428625"/>
            <wp:effectExtent l="0" t="0" r="9525" b="9525"/>
            <wp:docPr id="207221848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18488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2B4B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D348514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12E2503F" w14:textId="308867A5" w:rsidR="00EC3E78" w:rsidRPr="00931E9B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6432" behindDoc="0" locked="0" layoutInCell="1" allowOverlap="1" wp14:anchorId="50A1989E" wp14:editId="58C8F5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480748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748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0F2D3DA8" w14:textId="760A4220" w:rsidR="00EC3E78" w:rsidRPr="00931E9B" w:rsidRDefault="00D17353" w:rsidP="00EC3E78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37B1CB88" w14:textId="12457682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3AD9E1AB" w14:textId="6232797F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7</w:t>
      </w:r>
    </w:p>
    <w:p w14:paraId="386CAD89" w14:textId="05F3DF61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8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svibnja 2024.</w:t>
      </w:r>
    </w:p>
    <w:p w14:paraId="47ED4240" w14:textId="321E25CF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D17353">
        <w:rPr>
          <w:rFonts w:asciiTheme="minorHAnsi" w:eastAsia="Arial Unicode MS" w:hAnsiTheme="minorHAnsi" w:cstheme="minorHAnsi"/>
          <w:bCs/>
          <w:sz w:val="22"/>
          <w:szCs w:val="22"/>
        </w:rPr>
        <w:t>8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D17353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D1735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A320F2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499D4A58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26D740A1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501044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7E6528EF" w14:textId="77777777" w:rsidR="00EC3E78" w:rsidRPr="00A320F2" w:rsidRDefault="00EC3E78" w:rsidP="00EC3E78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6" w:name="_Hlk145929523"/>
      <w:r w:rsidRPr="00A320F2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09E04EFE" w14:textId="6D9EF67C" w:rsidR="00EC3E78" w:rsidRPr="00A320F2" w:rsidRDefault="00EC3E78" w:rsidP="00EC3E78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7" w:name="_Hlk152705581"/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00ACC098" wp14:editId="11005160">
            <wp:extent cx="314325" cy="428625"/>
            <wp:effectExtent l="0" t="0" r="9525" b="9525"/>
            <wp:docPr id="10435536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36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1028" w14:textId="77777777" w:rsidR="00EC3E78" w:rsidRPr="00A320F2" w:rsidRDefault="00EC3E78" w:rsidP="00641645">
      <w:pPr>
        <w:suppressAutoHyphens w:val="0"/>
        <w:autoSpaceDN/>
        <w:ind w:left="-142" w:right="5340" w:firstLine="142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0CFBCFB" w14:textId="77777777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C9192C6" w14:textId="2F487C55" w:rsidR="00EC3E78" w:rsidRPr="00931E9B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noProof/>
          <w:sz w:val="20"/>
          <w:lang w:val="hr-HR"/>
        </w:rPr>
        <w:drawing>
          <wp:anchor distT="0" distB="0" distL="114300" distR="114300" simplePos="0" relativeHeight="251668480" behindDoc="0" locked="0" layoutInCell="1" allowOverlap="1" wp14:anchorId="46031E43" wp14:editId="061358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170013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0013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 POŽEGA</w:t>
      </w:r>
    </w:p>
    <w:p w14:paraId="47B86223" w14:textId="4AC36EC9" w:rsidR="00EC3E78" w:rsidRPr="00931E9B" w:rsidRDefault="00EC3E78" w:rsidP="00EC3E78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</w:t>
      </w:r>
      <w:r w:rsidR="00D17353" w:rsidRPr="00931E9B">
        <w:rPr>
          <w:rFonts w:ascii="Calibri" w:hAnsi="Calibri" w:cs="Calibri"/>
          <w:b w:val="0"/>
          <w:sz w:val="22"/>
          <w:szCs w:val="22"/>
          <w:lang w:val="hr-HR"/>
        </w:rPr>
        <w:t>RADSKO VIJEĆE</w:t>
      </w:r>
    </w:p>
    <w:bookmarkEnd w:id="6"/>
    <w:bookmarkEnd w:id="7"/>
    <w:p w14:paraId="1CB3C653" w14:textId="2329C47C" w:rsidR="00BA40C0" w:rsidRPr="001533BE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D17353"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37CC0DE3" w14:textId="702BE6FE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4-8</w:t>
      </w:r>
    </w:p>
    <w:p w14:paraId="1E77AF6B" w14:textId="57E53953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svibnja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0514F4B3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28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svibnja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46247C74" w:rsidR="00B04814" w:rsidRPr="00A320F2" w:rsidRDefault="003811AC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zmjen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dopun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Programa</w:t>
      </w:r>
    </w:p>
    <w:p w14:paraId="762C4BB8" w14:textId="774586AC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449F18CB" w14:textId="77777777" w:rsidR="005E31CF" w:rsidRPr="00B14675" w:rsidRDefault="005E31CF" w:rsidP="005E31CF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686F413" w14:textId="0CEECC9E" w:rsidR="005E31CF" w:rsidRPr="00B14675" w:rsidRDefault="005E31CF" w:rsidP="005E31CF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mijenja se i dopunjuje Program javnih potreba u predškolskom odgoju i školstvu za 202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/23.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224E310E" w14:textId="77777777" w:rsidR="005E31CF" w:rsidRPr="00627D2A" w:rsidRDefault="005E31CF" w:rsidP="005E31CF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2CBCA9BF" w14:textId="77777777" w:rsidR="005E31CF" w:rsidRPr="00627D2A" w:rsidRDefault="005E31CF" w:rsidP="005E31CF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66AEBAE6" w14:textId="14B90EC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10.100.</w:t>
      </w:r>
      <w:r w:rsidR="00B0593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462</w:t>
      </w:r>
      <w:r w:rsidR="003F568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A320F2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D57F8DE" w14:textId="47B66697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7FD0E60D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0434FCBF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705D0C9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će iz Proračuna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godinu za potrebe zadovoljavanja javnih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potreba u predškolskom odgoju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sufinancirati rad privatnih vrtića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obrta za čuvanje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području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76E8D8A6" w14:textId="0103A67F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iznose 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385.690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5DCC46BF" w14:textId="7987670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Sukladno Zakonu o predškolskom odgoju i obrazovanju (Narodne novine, broj: 10/97., 107/07., 94/13.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na području Grada Požege rade tri ustanove predškolskog odgoja u privatnom vlasništvu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odnosno, kojima Grad Požega nije osnivač, i to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 Dječji vrtić Radost, Dječji vrtić Sv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Leopolda Mandića i Dječji vrtić Šareni svijet. Zbog izuzetnog značenja djelatnosti i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interesa roditelja, a temeljem Odluke o sufinanciranju smještaja djece u privatnim predškolskim ustanovama na području Grada Požege (Službene novine Grada Požege, broj: 17/12.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19/14.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24/21.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Grad Požega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sufinancirati dječje vrtiće prema odredbama naveden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8" w:name="_Hlk152658092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u iznosu 3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87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.000,00 €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u iznosu 175.300,00 € iz Državnog proračuna temeljem 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Uredbe o kriterijima i mjerilima za utvrđivanje iznosa sredstava za fisklanu održivost dječjih vrtića (Narodne novine, broj: 109/23.) i Odluke o raspodjeli sredstava pomoći za fiskalnu održivost vrtića, koju je donio Grad Požega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 sveukupno u iznosu 507.300,00 €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bookmarkEnd w:id="8"/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24/21.), te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financirati obrte u iznosu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20.150,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00 €.</w:t>
      </w:r>
    </w:p>
    <w:p w14:paraId="00C303B4" w14:textId="51E33E1F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127/19.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10/97., 107/07., 94/13.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određ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način rada proračunskog korisnika Dječjeg vrtića Požega.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9" w:name="_Hlk152658306"/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2024. godini Dječji vrtić Požega će se, na temelju iste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uredbe i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 u iznosu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260.000,00 €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bookmarkEnd w:id="9"/>
    <w:p w14:paraId="5471BC99" w14:textId="1765B8DB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DONACIJE DJEČJIM VRTIĆIMA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financirat će se u iznosu od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82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450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320F2" w:rsidRPr="00A320F2" w14:paraId="50B6283F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A320F2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A320F2" w:rsidRPr="00A320F2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A320F2" w:rsidRDefault="00EE1B88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0F024B5F" w:rsidR="00B04814" w:rsidRPr="00A320F2" w:rsidRDefault="001B672C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320F2" w:rsidRPr="00A320F2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A320F2" w:rsidRDefault="00697F36" w:rsidP="00AD528F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6BB192D7" w:rsidR="00B04814" w:rsidRPr="00A320F2" w:rsidRDefault="001F52B7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20.15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7DA08A31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803.240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320F2" w:rsidRPr="00A320F2" w14:paraId="0372C06F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A320F2" w:rsidRDefault="0068242B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320F2" w:rsidRPr="00A320F2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A320F2" w:rsidRDefault="007F2E65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6B3583E1" w:rsidR="00B04814" w:rsidRPr="00A320F2" w:rsidRDefault="00AE1E54" w:rsidP="00AE1E54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1.049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65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6C6BB846" w:rsidR="00B04814" w:rsidRPr="00A320F2" w:rsidRDefault="0068242B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803.240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30D43A9" w14:textId="77777777" w:rsidTr="00EC3E78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95A" w14:textId="2309BBFB" w:rsidR="00B04814" w:rsidRPr="00A320F2" w:rsidRDefault="001B672C" w:rsidP="00AE1E54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</w:t>
            </w:r>
            <w:r w:rsidR="00AE1E54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53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AE1E54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5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33648E6A" w14:textId="77777777" w:rsidTr="00EC3E78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E23" w14:textId="077D43A9" w:rsidR="00DC7620" w:rsidRPr="00A320F2" w:rsidRDefault="00DC7620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A320F2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A320F2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68B3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2412269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A320F2" w:rsidRDefault="00AD528F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485F96C0" w:rsidR="00B04814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803.240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103C4633" w:rsidR="007F2E65" w:rsidRPr="00A320F2" w:rsidRDefault="007F2E65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785.84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A320F2" w14:paraId="200B6CCD" w14:textId="77777777" w:rsidTr="00EC3E78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52CBDB79" w:rsidR="00B04814" w:rsidRPr="00A320F2" w:rsidRDefault="00626319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0699DD20" w14:textId="0C0650BB" w:rsidR="00EC3E78" w:rsidRPr="00A320F2" w:rsidRDefault="00EC3E78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6953CE81" w14:textId="77777777" w:rsidR="00EC3E78" w:rsidRPr="00A320F2" w:rsidRDefault="00EC3E78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5E924E4E" w14:textId="77777777" w:rsidR="00B04814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2DD2E3A0" w14:textId="77777777" w:rsidR="00B04814" w:rsidRPr="00A320F2" w:rsidRDefault="00B04814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6ECB472" w14:textId="6F3E1CB1" w:rsidR="00B14182" w:rsidRPr="00A320F2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</w:t>
      </w:r>
      <w:r w:rsidR="00CB03C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7/17., 68/18., 98/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,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Zakonu, Grad Požega je u svom proračunu osigurao sredstva i za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šire potrebe u školstvu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62EA6448" w14:textId="346C3ADE" w:rsidR="00EF08BE" w:rsidRPr="00A320F2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7.559.84</w:t>
      </w:r>
      <w:r w:rsidR="00B0593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00 €. </w:t>
      </w:r>
    </w:p>
    <w:p w14:paraId="0E20653C" w14:textId="2836323D" w:rsidR="003630A6" w:rsidRPr="00A320F2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za 202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godine financirat će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kroz Program Redovna djelatnost osnovnog školstva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tri osnovne škole kojima je Grad Požega osnivač i Katoličk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osnovn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(zakonski standard) u iznosu od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7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47.73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7,00 €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(732.755,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 DEC sredstava za 2024. godinu i 14.982,00 € nepotrošenih sredstava iz prethodne godine)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320F2" w:rsidRPr="00A320F2" w14:paraId="013EC6E7" w14:textId="77777777" w:rsidTr="00EC3E78">
        <w:trPr>
          <w:jc w:val="center"/>
        </w:trPr>
        <w:tc>
          <w:tcPr>
            <w:tcW w:w="7792" w:type="dxa"/>
            <w:vAlign w:val="center"/>
          </w:tcPr>
          <w:p w14:paraId="2CB23DDE" w14:textId="4DEC0A64" w:rsidR="00E27A5D" w:rsidRPr="00A320F2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E27A5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A320F2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842FCA6" w14:textId="77777777" w:rsidTr="00EC3E78">
        <w:trPr>
          <w:jc w:val="center"/>
        </w:trPr>
        <w:tc>
          <w:tcPr>
            <w:tcW w:w="7792" w:type="dxa"/>
            <w:vAlign w:val="center"/>
          </w:tcPr>
          <w:p w14:paraId="51AE247E" w14:textId="1365A5F1" w:rsidR="00C34054" w:rsidRPr="00A320F2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donacije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materijalne troškove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BAC5CD" w14:textId="05EDCB00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78.371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831C39D" w14:textId="77777777" w:rsidTr="00EC3E78">
        <w:trPr>
          <w:jc w:val="center"/>
        </w:trPr>
        <w:tc>
          <w:tcPr>
            <w:tcW w:w="7792" w:type="dxa"/>
            <w:vAlign w:val="center"/>
          </w:tcPr>
          <w:p w14:paraId="7CE34877" w14:textId="0CD73AE4" w:rsidR="00C34054" w:rsidRPr="00A320F2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701" w:type="dxa"/>
            <w:vAlign w:val="center"/>
          </w:tcPr>
          <w:p w14:paraId="365FE71B" w14:textId="5E2D642C" w:rsidR="00C34054" w:rsidRPr="00A320F2" w:rsidRDefault="00061076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287.721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1B7B90" w14:textId="77777777" w:rsidTr="00EC3E78">
        <w:trPr>
          <w:jc w:val="center"/>
        </w:trPr>
        <w:tc>
          <w:tcPr>
            <w:tcW w:w="7792" w:type="dxa"/>
            <w:vAlign w:val="center"/>
          </w:tcPr>
          <w:p w14:paraId="482A187B" w14:textId="0CE05699" w:rsidR="00C34054" w:rsidRPr="00A320F2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11F9F43D" w14:textId="4767E0B6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98FBED" w14:textId="77777777" w:rsidTr="00EC3E78">
        <w:trPr>
          <w:jc w:val="center"/>
        </w:trPr>
        <w:tc>
          <w:tcPr>
            <w:tcW w:w="7792" w:type="dxa"/>
            <w:vAlign w:val="center"/>
          </w:tcPr>
          <w:p w14:paraId="0B34F1A1" w14:textId="0B1F2DF1" w:rsidR="00C34054" w:rsidRPr="00A320F2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9266FBB" w14:textId="63D85625" w:rsidR="00C34054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366.092,00</w:t>
            </w:r>
          </w:p>
        </w:tc>
      </w:tr>
      <w:tr w:rsidR="00A320F2" w:rsidRPr="00A320F2" w14:paraId="00DFAF87" w14:textId="77777777" w:rsidTr="00EC3E78">
        <w:trPr>
          <w:trHeight w:val="340"/>
          <w:jc w:val="center"/>
        </w:trPr>
        <w:tc>
          <w:tcPr>
            <w:tcW w:w="7792" w:type="dxa"/>
            <w:vAlign w:val="center"/>
          </w:tcPr>
          <w:p w14:paraId="7DF5198C" w14:textId="55384B8D" w:rsidR="00074122" w:rsidRPr="00A320F2" w:rsidRDefault="00074122" w:rsidP="00B0593E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EE20B7E" w14:textId="7B17A595" w:rsidR="00074122" w:rsidRPr="00A320F2" w:rsidRDefault="00074122" w:rsidP="00B0593E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679F3628" w14:textId="77777777" w:rsidTr="00EC3E78">
        <w:trPr>
          <w:jc w:val="center"/>
        </w:trPr>
        <w:tc>
          <w:tcPr>
            <w:tcW w:w="7792" w:type="dxa"/>
            <w:vAlign w:val="center"/>
          </w:tcPr>
          <w:p w14:paraId="205D7DD9" w14:textId="68460D7D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DB1C354" w14:textId="3B54A24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22.710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3FC9CE5" w14:textId="77777777" w:rsidTr="00EC3E78">
        <w:trPr>
          <w:jc w:val="center"/>
        </w:trPr>
        <w:tc>
          <w:tcPr>
            <w:tcW w:w="7792" w:type="dxa"/>
            <w:vAlign w:val="center"/>
          </w:tcPr>
          <w:p w14:paraId="61ED8D5F" w14:textId="624E1344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55647A" w14:textId="62A6630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50.700,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4F576B1A" w14:textId="77777777" w:rsidTr="00EC3E78">
        <w:trPr>
          <w:jc w:val="center"/>
        </w:trPr>
        <w:tc>
          <w:tcPr>
            <w:tcW w:w="7792" w:type="dxa"/>
            <w:vAlign w:val="center"/>
          </w:tcPr>
          <w:p w14:paraId="3D1BF1B5" w14:textId="04C3B046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414719C" w14:textId="58335964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08.235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DE9D42" w14:textId="77777777" w:rsidTr="00EC3E78">
        <w:trPr>
          <w:jc w:val="center"/>
        </w:trPr>
        <w:tc>
          <w:tcPr>
            <w:tcW w:w="7792" w:type="dxa"/>
            <w:vAlign w:val="center"/>
          </w:tcPr>
          <w:p w14:paraId="67B4A0FB" w14:textId="760135E9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II. UKUPNO -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701" w:type="dxa"/>
            <w:vAlign w:val="center"/>
          </w:tcPr>
          <w:p w14:paraId="1790A38A" w14:textId="73C5293D" w:rsidR="00074122" w:rsidRPr="00A320F2" w:rsidRDefault="00061076" w:rsidP="00B0593E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381.645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F7C8876" w14:textId="77777777" w:rsidTr="00EC3E78">
        <w:trPr>
          <w:jc w:val="center"/>
        </w:trPr>
        <w:tc>
          <w:tcPr>
            <w:tcW w:w="7792" w:type="dxa"/>
            <w:vAlign w:val="center"/>
          </w:tcPr>
          <w:p w14:paraId="16AC9D98" w14:textId="5ED776F9" w:rsidR="00EC2E23" w:rsidRPr="00A320F2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.+II. SVEUKUPNO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701" w:type="dxa"/>
            <w:vAlign w:val="center"/>
          </w:tcPr>
          <w:p w14:paraId="77269DB1" w14:textId="7A5048AA" w:rsidR="00074122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747.737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4C64645A" w:rsidR="00B04814" w:rsidRPr="00A320F2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iznosu 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28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49,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kako slijedi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: </w:t>
      </w:r>
    </w:p>
    <w:p w14:paraId="02008EDA" w14:textId="709B3DB3" w:rsidR="00696B77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2.000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E4196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75B3F8B8" w14:textId="1C0BF2EC" w:rsidR="00D03E24" w:rsidRPr="00A320F2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99.759,00 € prijevoz učenika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sredstva prema računu prijevoznika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</w:p>
    <w:p w14:paraId="78548160" w14:textId="39295D87" w:rsidR="004B3901" w:rsidRPr="00A320F2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06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90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5E1D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osnovn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im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kojima je osnivač Grad Požega 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320F2" w:rsidRPr="00A320F2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A320F2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A320F2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7EA4A77" w:rsidR="00ED7111" w:rsidRPr="00A320F2" w:rsidRDefault="00F9206A" w:rsidP="004C721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A889" w14:textId="3218946D" w:rsidR="00ED7111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A320F2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A320F2" w:rsidRDefault="00ED7111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A320F2" w:rsidRDefault="002723F6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441C4A96" w:rsidR="002723F6" w:rsidRPr="00A320F2" w:rsidRDefault="002723F6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320F2" w:rsidRPr="00A320F2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A320F2" w:rsidRDefault="00C412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23A8248F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3822D9A6" w14:textId="048F404B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06A23585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A320F2" w:rsidRDefault="00625C79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02E41570" w:rsidR="00B04814" w:rsidRPr="00A320F2" w:rsidRDefault="00625C79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3.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 xml:space="preserve">OŠ JULIJA </w:t>
            </w:r>
          </w:p>
          <w:p w14:paraId="37169CB0" w14:textId="69C69CEB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17EBF29B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43AC4BC6" w14:textId="51C6DC21" w:rsidR="00D934A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985EE64" w14:textId="54F7C431" w:rsidR="00D934A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A320F2" w:rsidRDefault="00D934A9" w:rsidP="00B0593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52BDCC7D" w:rsidR="00B04814" w:rsidRPr="00A320F2" w:rsidRDefault="007061F4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120.000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3D440D72" w:rsidR="00B04814" w:rsidRPr="00A320F2" w:rsidRDefault="007061F4" w:rsidP="006758B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ostali 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EE51D0" w14:textId="565AC15C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6FCF0941" w:rsidR="00B04814" w:rsidRPr="00A320F2" w:rsidRDefault="007061F4" w:rsidP="0006107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73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A320F2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-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786636C0" w:rsidR="001441AA" w:rsidRPr="00A320F2" w:rsidRDefault="002723F6" w:rsidP="0006107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3811A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.64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1441A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71F43897" w:rsidR="00B04814" w:rsidRPr="00A320F2" w:rsidRDefault="00CC034C" w:rsidP="006B6C2D">
      <w:pPr>
        <w:spacing w:before="240"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Rashodi iz 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stali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h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izvor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 (Ministarstvo znanosti i obrazovanja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(MZO)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amjenski prihodi)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financiranje potreba u školstvu u 202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iznose 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.28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3.4</w:t>
      </w:r>
      <w:r w:rsidR="000950D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56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320F2" w:rsidRPr="00A320F2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A320F2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A320F2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48E0B90" w14:textId="77777777" w:rsidTr="006B6C2D">
        <w:trPr>
          <w:trHeight w:val="397"/>
        </w:trPr>
        <w:tc>
          <w:tcPr>
            <w:tcW w:w="2411" w:type="dxa"/>
          </w:tcPr>
          <w:p w14:paraId="3476161A" w14:textId="62C0EB41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0D52801C" w:rsidR="00202817" w:rsidRPr="00A320F2" w:rsidRDefault="00696B77" w:rsidP="00B0593E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5B5A8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951.</w:t>
            </w:r>
            <w:r w:rsidR="00B0593E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397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6D9C450" w14:textId="77777777" w:rsidTr="006B6C2D">
        <w:trPr>
          <w:trHeight w:val="397"/>
        </w:trPr>
        <w:tc>
          <w:tcPr>
            <w:tcW w:w="2411" w:type="dxa"/>
          </w:tcPr>
          <w:p w14:paraId="485E60F0" w14:textId="1CE7C7BC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08580D1E" w:rsidR="00202817" w:rsidRPr="00A320F2" w:rsidRDefault="00061076" w:rsidP="000950D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2.263.44</w:t>
            </w:r>
            <w:r w:rsidR="000950D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40EBC341" w:rsidR="00202817" w:rsidRPr="00A320F2" w:rsidRDefault="00061076" w:rsidP="000950D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2.068.61</w:t>
            </w:r>
            <w:r w:rsidR="000950D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451A84C3" w14:textId="77777777" w:rsidTr="00B0593E">
        <w:trPr>
          <w:trHeight w:val="581"/>
        </w:trPr>
        <w:tc>
          <w:tcPr>
            <w:tcW w:w="7655" w:type="dxa"/>
            <w:gridSpan w:val="2"/>
          </w:tcPr>
          <w:p w14:paraId="177A3D0B" w14:textId="70E1D8F1" w:rsidR="00275E07" w:rsidRPr="00A320F2" w:rsidRDefault="00275E07" w:rsidP="00275E0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UKUPNO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1CDD1892" w:rsidR="00275E07" w:rsidRPr="00A320F2" w:rsidRDefault="005B5A81" w:rsidP="000950D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.28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="000950D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56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77777777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2E0BD984" w:rsidR="00B04814" w:rsidRPr="00A320F2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tuden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ta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 područja g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školovanje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studenata medicine -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korisnika stipendije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Požeško-slavonske županije doznakom sredstava Županiji. </w:t>
      </w:r>
    </w:p>
    <w:p w14:paraId="49679417" w14:textId="7CFF13C5" w:rsidR="00B04814" w:rsidRPr="00A320F2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51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320F2" w:rsidRPr="00A320F2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EE0E7B" w:rsidRPr="00A320F2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A320F2" w:rsidRDefault="00EE0E7B" w:rsidP="006C3B0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A320F2" w:rsidRDefault="00EE0E7B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A320F2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76CBC2C7" w14:textId="0E945341" w:rsidR="00EE0E7B" w:rsidRPr="00A320F2" w:rsidRDefault="00EE0E7B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A320F2" w:rsidRDefault="00EE0E7B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534CF924" w:rsidR="00EE0E7B" w:rsidRPr="00A320F2" w:rsidRDefault="00EE0E7B" w:rsidP="00275E0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151.000,00</w:t>
            </w:r>
          </w:p>
        </w:tc>
      </w:tr>
    </w:tbl>
    <w:p w14:paraId="78CDA859" w14:textId="77777777" w:rsidR="00EC3E78" w:rsidRPr="00A320F2" w:rsidRDefault="00EC3E78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6ED6D04C" w14:textId="04C05193" w:rsidR="00B04814" w:rsidRPr="00A320F2" w:rsidRDefault="00626319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ŽEG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1.130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320F2" w:rsidRPr="00A320F2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A320F2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A320F2" w:rsidRDefault="006C3B0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A320F2" w:rsidRDefault="00804FB7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41364" w14:textId="77777777" w:rsidR="00275E07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6AD6B2" w14:textId="3A77EC61" w:rsidR="00B04814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1.130,00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320F2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2B6E6913" w:rsidR="00B04814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320F2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581DC50" w14:textId="33789330" w:rsidR="00626319" w:rsidRPr="00A320F2" w:rsidRDefault="00626319" w:rsidP="00EC3E78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ribarstvu i 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2AB2E4A5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A320F2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A320F2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25C75ED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57261FF5" w:rsidR="00804FB7" w:rsidRPr="00A320F2" w:rsidRDefault="00F44DB4" w:rsidP="00EC3E78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804FB7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</w:r>
      <w:r w:rsidR="00055F23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SUFINANCIRANJE 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39F37087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A320F2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A320F2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A320F2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0375EF64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0BD58655" w:rsidR="00804FB7" w:rsidRPr="00A320F2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A320F2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</w:t>
            </w:r>
            <w:r w:rsidR="00626319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000</w:t>
            </w: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,</w:t>
            </w:r>
            <w:r w:rsidR="00804FB7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77777777" w:rsidR="00B04814" w:rsidRPr="00A320F2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605F775E" w14:textId="7777777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A320F2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2A1FD67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544C9F4C" w14:textId="77777777" w:rsidR="005B5A81" w:rsidRPr="00B14675" w:rsidRDefault="005B5A81" w:rsidP="005B5A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10" w:name="_Hlk511382768"/>
      <w:bookmarkStart w:id="11" w:name="_Hlk524338037"/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029052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2" w:name="_Hlk83194254"/>
      <w:r w:rsidRPr="00A320F2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0"/>
    <w:p w14:paraId="2FBFB726" w14:textId="51D68B9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p w14:paraId="2EB5FF64" w14:textId="77777777" w:rsidR="0040199B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247FF12D" w14:textId="77777777" w:rsidR="00D17353" w:rsidRPr="00B14675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B541CB8" w14:textId="77777777" w:rsidR="00D17353" w:rsidRPr="00B14675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Izmjene i dopune Programa javnih potreba u predškolskom odgoju i školstvu u Gradu Požegi </w:t>
      </w:r>
    </w:p>
    <w:p w14:paraId="44DEA2B9" w14:textId="489FB453" w:rsidR="00D17353" w:rsidRPr="00B14675" w:rsidRDefault="00D17353" w:rsidP="00AF6702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202</w:t>
      </w:r>
      <w:r w:rsidR="003811A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2C1571EB" w14:textId="77777777" w:rsidR="00D17353" w:rsidRPr="00B14675" w:rsidRDefault="00D17353" w:rsidP="00D17353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4DC00EA0" w14:textId="77777777" w:rsidR="00D17353" w:rsidRPr="00B14675" w:rsidRDefault="00D17353" w:rsidP="00D17353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370E1A04" w14:textId="24884F56" w:rsidR="00D17353" w:rsidRPr="00B14675" w:rsidRDefault="00D17353" w:rsidP="00D1735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/97., 107/07., 94/13., 98/19.,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3811A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Zakona o odgoju i obrazovanju u osnovnoj i srednjoj školi (Narodne novine, broj: 87/08., 86/09., 92/10., 105/10., 90/11., 5/12., 16/12., 86/12., 126/12. – pročišćeni tekst, 94/13., 152/14., 7/17., 68/18., 98/19., 64/20.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,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), te Statuta Grada Požege  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3308D87B" w14:textId="77777777" w:rsidR="00D17353" w:rsidRPr="00B14675" w:rsidRDefault="00D17353" w:rsidP="00D17353">
      <w:pPr>
        <w:pStyle w:val="Odlomakpopisa"/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7565B608" w14:textId="0366FA21" w:rsidR="00D17353" w:rsidRPr="00B14675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5B5A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3811A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vine Grada Požege, broj: 2</w:t>
      </w:r>
      <w:r w:rsidR="005B5A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/23.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– u nastavku teksta: Program). </w:t>
      </w:r>
    </w:p>
    <w:p w14:paraId="5A053875" w14:textId="0ACE2D94" w:rsidR="00D17353" w:rsidRPr="00B14675" w:rsidRDefault="00D17353" w:rsidP="00D17353">
      <w:pPr>
        <w:pStyle w:val="Standard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675">
        <w:rPr>
          <w:rFonts w:asciiTheme="minorHAnsi" w:hAnsiTheme="minorHAnsi" w:cstheme="minorHAnsi"/>
          <w:sz w:val="22"/>
          <w:szCs w:val="22"/>
        </w:rPr>
        <w:t xml:space="preserve">Ukupno planirani Program javnih potreba u predškolskom odgoju i školstvu u iznosu </w:t>
      </w:r>
      <w:r>
        <w:rPr>
          <w:rFonts w:asciiTheme="minorHAnsi" w:hAnsiTheme="minorHAnsi" w:cstheme="minorHAnsi"/>
          <w:sz w:val="22"/>
          <w:szCs w:val="22"/>
        </w:rPr>
        <w:t>8.</w:t>
      </w:r>
      <w:r w:rsidR="005B5A81">
        <w:rPr>
          <w:rFonts w:asciiTheme="minorHAnsi" w:hAnsiTheme="minorHAnsi" w:cstheme="minorHAnsi"/>
          <w:sz w:val="22"/>
          <w:szCs w:val="22"/>
        </w:rPr>
        <w:t>786.509</w:t>
      </w:r>
      <w:r>
        <w:rPr>
          <w:rFonts w:asciiTheme="minorHAnsi" w:hAnsiTheme="minorHAnsi" w:cstheme="minorHAnsi"/>
          <w:sz w:val="22"/>
          <w:szCs w:val="22"/>
        </w:rPr>
        <w:t>,00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</w:t>
      </w:r>
      <w:r w:rsidR="005B5A81">
        <w:rPr>
          <w:rFonts w:asciiTheme="minorHAnsi" w:hAnsiTheme="minorHAnsi" w:cstheme="minorHAnsi"/>
          <w:sz w:val="22"/>
          <w:szCs w:val="22"/>
        </w:rPr>
        <w:t xml:space="preserve"> (nakon provedenog smanjenja preraspodjelom za 8.000,00 € na aktivnosti Donacije privatnim dječjim vrtićima)</w:t>
      </w:r>
      <w:r w:rsidRPr="00B14675">
        <w:rPr>
          <w:rFonts w:asciiTheme="minorHAnsi" w:hAnsiTheme="minorHAnsi" w:cstheme="minorHAnsi"/>
          <w:sz w:val="22"/>
          <w:szCs w:val="22"/>
        </w:rPr>
        <w:t xml:space="preserve"> povećava se za </w:t>
      </w:r>
      <w:r w:rsidR="00860E4E">
        <w:rPr>
          <w:rFonts w:asciiTheme="minorHAnsi" w:hAnsiTheme="minorHAnsi" w:cstheme="minorHAnsi"/>
          <w:sz w:val="22"/>
          <w:szCs w:val="22"/>
        </w:rPr>
        <w:t>1.313.953,</w:t>
      </w:r>
      <w:r w:rsidR="005B5A81">
        <w:rPr>
          <w:rFonts w:asciiTheme="minorHAnsi" w:hAnsiTheme="minorHAnsi" w:cstheme="minorHAnsi"/>
          <w:sz w:val="22"/>
          <w:szCs w:val="22"/>
        </w:rPr>
        <w:t>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5B5A81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 w:rsidR="005B5A81">
        <w:rPr>
          <w:rFonts w:asciiTheme="minorHAnsi" w:hAnsiTheme="minorHAnsi" w:cstheme="minorHAnsi"/>
          <w:sz w:val="22"/>
          <w:szCs w:val="22"/>
        </w:rPr>
        <w:t>100.46</w:t>
      </w:r>
      <w:r w:rsidR="00860E4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,00</w:t>
      </w:r>
      <w:r w:rsidRPr="00B14675">
        <w:rPr>
          <w:rFonts w:asciiTheme="minorHAnsi" w:hAnsiTheme="minorHAnsi" w:cstheme="minorHAnsi"/>
          <w:sz w:val="22"/>
          <w:szCs w:val="22"/>
        </w:rPr>
        <w:t xml:space="preserve"> €, prema nastavno navedenom  tekstu. </w:t>
      </w:r>
    </w:p>
    <w:p w14:paraId="1553BB8B" w14:textId="5CF57ECD" w:rsidR="00D17353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Program javnih potreba u predškolskom odgoju 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- ukupno povećanje za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324.10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0,00 €, kako slijedi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:</w:t>
      </w:r>
    </w:p>
    <w:p w14:paraId="484E9192" w14:textId="2B218679" w:rsidR="00D17353" w:rsidRPr="00B14675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Donacije dječjim vrtićima – povećanje za </w:t>
      </w:r>
      <w:r w:rsidR="005B5A81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73.15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0,00 €</w:t>
      </w:r>
    </w:p>
    <w:p w14:paraId="09337239" w14:textId="1C494BA0" w:rsidR="00D17353" w:rsidRPr="00B14675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 Dječji vrtić Požega – ukupno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povećanje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250.950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 i to:</w:t>
      </w:r>
    </w:p>
    <w:p w14:paraId="15B1A291" w14:textId="17B24E9C" w:rsidR="00D17353" w:rsidRDefault="00D17353" w:rsidP="00D17353">
      <w:pPr>
        <w:autoSpaceDN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Osnovna aktivnost predškolskog odgoja –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povećanje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247.750,0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0 €</w:t>
      </w:r>
    </w:p>
    <w:p w14:paraId="5AB64E72" w14:textId="1955109F" w:rsidR="00D17353" w:rsidRPr="00B14675" w:rsidRDefault="00D17353" w:rsidP="00D17353">
      <w:pPr>
        <w:autoSpaceDN/>
        <w:spacing w:after="240"/>
        <w:ind w:left="708"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Nabava opreme u predškolskom odgoju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povećanje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3.200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1EEC46FB" w14:textId="77777777" w:rsidR="00D17353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rogram osnovnog obrazovanja ima slijedeće promjene:</w:t>
      </w:r>
    </w:p>
    <w:p w14:paraId="3179ABC4" w14:textId="6BD46E36" w:rsidR="006A7E03" w:rsidRDefault="006A7E0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*Progr</w:t>
      </w:r>
      <w:r w:rsidR="00860E4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am zakonski standard – povećanje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860E4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14.437</w:t>
      </w:r>
      <w:r w:rsidR="003811A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0D770EA8" w14:textId="15575FDA" w:rsidR="006A7E03" w:rsidRPr="00B14675" w:rsidRDefault="006A7E0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*Program iznad zakonski standard (Izvor Opći</w:t>
      </w:r>
      <w:r w:rsidR="001533B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prihodi i primici – Grad Požega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) – </w:t>
      </w:r>
      <w:r w:rsidR="001533B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smanjenje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za </w:t>
      </w:r>
      <w:r w:rsidR="001533B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21.900,00 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€</w:t>
      </w:r>
    </w:p>
    <w:p w14:paraId="696BBD4F" w14:textId="11AE7E2A" w:rsidR="00D17353" w:rsidRDefault="00D17353" w:rsidP="00D17353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*Program Iznad zakonski standard (Izvor MZO, Vlastiti prihodi i ostali namjenski prihodi) – ukupno povećanje za </w:t>
      </w:r>
      <w:r w:rsidR="004E7F0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</w:t>
      </w:r>
      <w:r w:rsidR="00860E4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97</w:t>
      </w:r>
      <w:r w:rsidR="004E7F0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.3</w:t>
      </w:r>
      <w:r w:rsidR="000950D7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16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€ </w:t>
      </w:r>
    </w:p>
    <w:p w14:paraId="654A6D64" w14:textId="77777777" w:rsidR="00D17353" w:rsidRPr="00B14675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73539288" w14:textId="4811C308" w:rsidR="00D17353" w:rsidRPr="00B14675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javnih potreba u predškolskom odgoju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2.385.690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8295940" w14:textId="21588656" w:rsidR="00D17353" w:rsidRPr="00B14675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osnovnog školstva u iznosu od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7.559.84</w:t>
      </w:r>
      <w:r w:rsidR="00860E4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1551D12E" w14:textId="48C3960A" w:rsidR="00D17353" w:rsidRPr="00B14675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15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6A7E03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712647BF" w14:textId="1202F7E1" w:rsidR="00D17353" w:rsidRPr="00B14675" w:rsidRDefault="00D17353" w:rsidP="00D17353">
      <w:pPr>
        <w:autoSpaceDN/>
        <w:ind w:firstLine="708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Glazbene škole Požega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 </w:t>
      </w:r>
      <w:r w:rsidR="003F568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3F568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1.130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B933436" w14:textId="77777777" w:rsidR="00D17353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Projekt Medni dan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800,00 €</w:t>
      </w:r>
    </w:p>
    <w:p w14:paraId="16EC2013" w14:textId="7AAFF9BF" w:rsidR="003F5682" w:rsidRPr="00B14675" w:rsidRDefault="003F5682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-Prevencija i promocija oralnog zdravlja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2.000,00 €</w:t>
      </w:r>
    </w:p>
    <w:p w14:paraId="0946E173" w14:textId="77777777" w:rsidR="00D17353" w:rsidRPr="00B14675" w:rsidRDefault="00D17353" w:rsidP="00D17353">
      <w:pPr>
        <w:autoSpaceDN/>
        <w:ind w:left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7F43A68E" w14:textId="7BEB3315" w:rsidR="003811AC" w:rsidRDefault="00D17353" w:rsidP="00D17353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U K U P N O: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3F5682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10.100.64</w:t>
      </w:r>
      <w:r w:rsidR="00860E4E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0913A019" w14:textId="77777777" w:rsidR="003811AC" w:rsidRDefault="003811AC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br w:type="page"/>
      </w:r>
    </w:p>
    <w:p w14:paraId="23BC1A8F" w14:textId="144F5574" w:rsidR="00641645" w:rsidRPr="00AF6702" w:rsidRDefault="00641645" w:rsidP="00AF6702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>Službene novine Grada Požege, broj: 20/23.</w:t>
      </w:r>
    </w:p>
    <w:p w14:paraId="15B3D8E7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4F09A3DB" wp14:editId="50F18F1C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755" w14:textId="77777777" w:rsidR="00641645" w:rsidRPr="00641645" w:rsidRDefault="00641645" w:rsidP="00641645">
      <w:pPr>
        <w:widowControl w:val="0"/>
        <w:tabs>
          <w:tab w:val="left" w:pos="3640"/>
        </w:tabs>
        <w:autoSpaceDN/>
        <w:ind w:left="-142"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7C15A14E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64DA2DD6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0528" behindDoc="0" locked="0" layoutInCell="1" allowOverlap="1" wp14:anchorId="0AB557F7" wp14:editId="69FC45B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211D585D" w14:textId="77777777" w:rsidR="00641645" w:rsidRPr="00641645" w:rsidRDefault="00641645" w:rsidP="00641645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DD3B7A8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KLASA: 601-02/22-01/3</w:t>
      </w:r>
    </w:p>
    <w:p w14:paraId="3E3999FF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URBROJ: 2177-1-02/01-23-4</w:t>
      </w:r>
    </w:p>
    <w:p w14:paraId="42D5B01E" w14:textId="77777777" w:rsidR="00641645" w:rsidRPr="00641645" w:rsidRDefault="00641645" w:rsidP="00641645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Požega, 14. prosinca 2023.</w:t>
      </w:r>
    </w:p>
    <w:p w14:paraId="1AD238A1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 i 151/22.) i članka 39. stavka 1. podstavka 3. Statuta Grada Požege (Službene novine Grada Požege, broj: 2/21. i 11/22.), Gradsko vijeće Grada Požege, na 16. sjednici, održanoj dana, 14. prosinca 2023. godine, donosi</w:t>
      </w:r>
    </w:p>
    <w:p w14:paraId="0DD34824" w14:textId="77777777" w:rsidR="00641645" w:rsidRPr="00641645" w:rsidRDefault="00641645" w:rsidP="00641645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</w:t>
      </w:r>
    </w:p>
    <w:p w14:paraId="7D8343C6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2FCBF3B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3E50DBBD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Ovaj Program javnih potreba u predškolskom odgoju i školstvu u Gradu Požegi za 2024. godinu (u nastavku teksta: Program) uključuje aktivnosti: </w:t>
      </w:r>
    </w:p>
    <w:p w14:paraId="3F0AC6F7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1B7FBB63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E448DA6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stipendija i školarina</w:t>
      </w:r>
    </w:p>
    <w:p w14:paraId="76FAD41F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sufinanciranja određenih projekata u području školstva.</w:t>
      </w:r>
    </w:p>
    <w:p w14:paraId="0FA899A8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521B873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8.794.509,00 €, za financiranje sljedećih javnih potreba:</w:t>
      </w:r>
    </w:p>
    <w:p w14:paraId="051E2F62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720C6823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610406FE" w14:textId="77777777" w:rsidR="00641645" w:rsidRPr="00641645" w:rsidRDefault="00641645" w:rsidP="00641645">
      <w:pPr>
        <w:widowControl w:val="0"/>
        <w:numPr>
          <w:ilvl w:val="0"/>
          <w:numId w:val="4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Stipendije i školarine</w:t>
      </w:r>
    </w:p>
    <w:p w14:paraId="728D16E9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29B4E447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Projekt Medni dani</w:t>
      </w:r>
    </w:p>
    <w:p w14:paraId="1BA6468C" w14:textId="77777777" w:rsidR="00641645" w:rsidRPr="00641645" w:rsidRDefault="00641645" w:rsidP="00641645">
      <w:pPr>
        <w:widowControl w:val="0"/>
        <w:autoSpaceDN/>
        <w:spacing w:after="240"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54ED18AA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6D8074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489B05C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2.069.590,00 €.</w:t>
      </w:r>
    </w:p>
    <w:p w14:paraId="7E389F57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94/13., 98/19., 57/22. i 101/23.),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2024. godini sufinancirati dječje vrtiće prema odredbama navedene Odluke u iznosu 332.000,00 €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507.300,00 €.  U skladu sa Zakonom o dadiljama (Narodne novine, broj: 37/13. i 98/19.), Grad Požega je donio Odluku o subvencioniranju obrta za čuvanje djece na području Grada Požege (Službene novine Grada Požege, broj: 24/21.), te će u 2024. godini financirati obrte u iznosu 10.000,00 €.</w:t>
      </w:r>
    </w:p>
    <w:p w14:paraId="5D45D1D4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260.000,00 €.</w:t>
      </w:r>
    </w:p>
    <w:p w14:paraId="5A8F8A5B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1.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DONACIJE DJEČJIM VRTIĆIMA financirat će se u iznosu od 517.300,00 €.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641645" w:rsidRPr="00641645" w14:paraId="6CAEC502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A4D1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641645" w:rsidRPr="00641645" w14:paraId="34A19D8B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CAD3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C61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08A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A49948A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B8E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8D3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AD1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507.300,00</w:t>
            </w:r>
          </w:p>
        </w:tc>
      </w:tr>
      <w:tr w:rsidR="00641645" w:rsidRPr="00641645" w14:paraId="2031410D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40B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34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FCC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</w:tr>
    </w:tbl>
    <w:p w14:paraId="1C995E23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2.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ustanove kojima je osnivač Grad Požega financirat će se u iznosu od 1.552.290,00 €.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641645" w:rsidRPr="00641645" w14:paraId="6B433250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17B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641645" w:rsidRPr="00641645" w14:paraId="2ACB4F28" w14:textId="77777777" w:rsidTr="00B0593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E0806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6837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D89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2963DE58" w14:textId="77777777" w:rsidTr="00B0593E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8B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F1B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34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850.000,00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8355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1.552.290,00</w:t>
            </w:r>
          </w:p>
        </w:tc>
      </w:tr>
      <w:tr w:rsidR="00641645" w:rsidRPr="00641645" w14:paraId="69136A35" w14:textId="77777777" w:rsidTr="00B0593E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89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21A5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42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702.290,00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5E23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25E24D89" w14:textId="77777777" w:rsidTr="00B0593E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6F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7C80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071A8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PROGRAM:</w:t>
            </w:r>
          </w:p>
          <w:p w14:paraId="635B4A2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0380DA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170EA4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23D896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1F414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6CD85B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8FD79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5A4F477F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1.552.290,00</w:t>
            </w:r>
          </w:p>
          <w:p w14:paraId="2E76CC7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E8E0E2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AC2A93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8E381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AF173C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1.538.090,00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752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464594C7" w14:textId="77777777" w:rsidTr="00B0593E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37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80B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27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14.200,00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71D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76696A0F" w14:textId="77777777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4516C48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stavke 1. točka 1. do 6. Zakona o odgoju i obrazovanju u osnovnoj i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srednjoj školi (Narodne novine, broj: 87/08., 86/09., 92/10., 105/10., 90/11., 5/12., 16/12., 86/12., 126/12.- pročišćeni tekst, 94/13., 152/14., 07/17., 68/18., 98/19., 64/20. i 151/22.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157D308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Ukupno planirana sredstava za program osnovnog obrazovanja iznose 6.569.989,00 €. </w:t>
      </w:r>
    </w:p>
    <w:p w14:paraId="7EBA7BB5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Proračunom Grada Požege za 2023. godine financirat će kroz Program Redovna djelatnost osnovnog školstva tri osnovne škole kojima je Grad Požega osnivač i Katolička osnovna škola u Požegi (zakonski standard) u iznosu od 733.300,00 € za slijedeće namjene:</w:t>
      </w:r>
    </w:p>
    <w:tbl>
      <w:tblPr>
        <w:tblStyle w:val="Reetkatablice1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641645" w:rsidRPr="00641645" w14:paraId="55F7864B" w14:textId="77777777" w:rsidTr="00B0593E">
        <w:trPr>
          <w:jc w:val="center"/>
        </w:trPr>
        <w:tc>
          <w:tcPr>
            <w:tcW w:w="7792" w:type="dxa"/>
            <w:vAlign w:val="center"/>
          </w:tcPr>
          <w:p w14:paraId="5328CD7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701" w:type="dxa"/>
            <w:vAlign w:val="center"/>
          </w:tcPr>
          <w:p w14:paraId="5F5EE15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0491711" w14:textId="77777777" w:rsidTr="00B0593E">
        <w:trPr>
          <w:jc w:val="center"/>
        </w:trPr>
        <w:tc>
          <w:tcPr>
            <w:tcW w:w="7792" w:type="dxa"/>
            <w:vAlign w:val="center"/>
          </w:tcPr>
          <w:p w14:paraId="13E7D4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701" w:type="dxa"/>
            <w:vAlign w:val="center"/>
          </w:tcPr>
          <w:p w14:paraId="3FC5548A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82.040,00</w:t>
            </w:r>
          </w:p>
        </w:tc>
      </w:tr>
      <w:tr w:rsidR="00641645" w:rsidRPr="00641645" w14:paraId="2B4E5D79" w14:textId="77777777" w:rsidTr="00B0593E">
        <w:trPr>
          <w:jc w:val="center"/>
        </w:trPr>
        <w:tc>
          <w:tcPr>
            <w:tcW w:w="7792" w:type="dxa"/>
            <w:vAlign w:val="center"/>
          </w:tcPr>
          <w:p w14:paraId="5F068DF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701" w:type="dxa"/>
            <w:vAlign w:val="center"/>
          </w:tcPr>
          <w:p w14:paraId="1982003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194.959,00</w:t>
            </w:r>
          </w:p>
        </w:tc>
      </w:tr>
      <w:tr w:rsidR="00641645" w:rsidRPr="00641645" w14:paraId="690B9A92" w14:textId="77777777" w:rsidTr="00B0593E">
        <w:trPr>
          <w:jc w:val="center"/>
        </w:trPr>
        <w:tc>
          <w:tcPr>
            <w:tcW w:w="7792" w:type="dxa"/>
            <w:vAlign w:val="center"/>
          </w:tcPr>
          <w:p w14:paraId="7864C69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4D2394A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39.852,00</w:t>
            </w:r>
          </w:p>
        </w:tc>
      </w:tr>
      <w:tr w:rsidR="00641645" w:rsidRPr="00641645" w14:paraId="3202DC1A" w14:textId="77777777" w:rsidTr="00B0593E">
        <w:trPr>
          <w:jc w:val="center"/>
        </w:trPr>
        <w:tc>
          <w:tcPr>
            <w:tcW w:w="7792" w:type="dxa"/>
            <w:vAlign w:val="center"/>
          </w:tcPr>
          <w:p w14:paraId="7D35B830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10E811E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316.851,00</w:t>
            </w:r>
          </w:p>
        </w:tc>
      </w:tr>
      <w:tr w:rsidR="00641645" w:rsidRPr="00641645" w14:paraId="0C8E0462" w14:textId="77777777" w:rsidTr="00B0593E">
        <w:trPr>
          <w:trHeight w:val="340"/>
          <w:jc w:val="center"/>
        </w:trPr>
        <w:tc>
          <w:tcPr>
            <w:tcW w:w="7792" w:type="dxa"/>
            <w:vAlign w:val="center"/>
          </w:tcPr>
          <w:p w14:paraId="32C2927C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6D7A6BF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06507557" w14:textId="77777777" w:rsidTr="00B0593E">
        <w:trPr>
          <w:jc w:val="center"/>
        </w:trPr>
        <w:tc>
          <w:tcPr>
            <w:tcW w:w="7792" w:type="dxa"/>
            <w:vAlign w:val="center"/>
          </w:tcPr>
          <w:p w14:paraId="3F4AE90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7DBCCE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133.292,00</w:t>
            </w:r>
          </w:p>
        </w:tc>
      </w:tr>
      <w:tr w:rsidR="00641645" w:rsidRPr="00641645" w14:paraId="0F0E7C12" w14:textId="77777777" w:rsidTr="00B0593E">
        <w:trPr>
          <w:jc w:val="center"/>
        </w:trPr>
        <w:tc>
          <w:tcPr>
            <w:tcW w:w="7792" w:type="dxa"/>
            <w:vAlign w:val="center"/>
          </w:tcPr>
          <w:p w14:paraId="57B23FA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6C40DA9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161.308,00</w:t>
            </w:r>
          </w:p>
        </w:tc>
      </w:tr>
      <w:tr w:rsidR="00641645" w:rsidRPr="00641645" w14:paraId="472D2B43" w14:textId="77777777" w:rsidTr="00B0593E">
        <w:trPr>
          <w:jc w:val="center"/>
        </w:trPr>
        <w:tc>
          <w:tcPr>
            <w:tcW w:w="7792" w:type="dxa"/>
            <w:vAlign w:val="center"/>
          </w:tcPr>
          <w:p w14:paraId="39BA6E6B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402ADB5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121.849,00</w:t>
            </w:r>
          </w:p>
        </w:tc>
      </w:tr>
      <w:tr w:rsidR="00641645" w:rsidRPr="00641645" w14:paraId="2A3DE733" w14:textId="77777777" w:rsidTr="00B0593E">
        <w:trPr>
          <w:jc w:val="center"/>
        </w:trPr>
        <w:tc>
          <w:tcPr>
            <w:tcW w:w="7792" w:type="dxa"/>
            <w:vAlign w:val="center"/>
          </w:tcPr>
          <w:p w14:paraId="2AE18BF2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701" w:type="dxa"/>
            <w:vAlign w:val="center"/>
          </w:tcPr>
          <w:p w14:paraId="29C29E41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416.449,00</w:t>
            </w:r>
          </w:p>
        </w:tc>
      </w:tr>
      <w:tr w:rsidR="00641645" w:rsidRPr="00641645" w14:paraId="1A78C2A6" w14:textId="77777777" w:rsidTr="00B0593E">
        <w:trPr>
          <w:jc w:val="center"/>
        </w:trPr>
        <w:tc>
          <w:tcPr>
            <w:tcW w:w="7792" w:type="dxa"/>
            <w:vAlign w:val="center"/>
          </w:tcPr>
          <w:p w14:paraId="23DB63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701" w:type="dxa"/>
            <w:vAlign w:val="center"/>
          </w:tcPr>
          <w:p w14:paraId="327A576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733.300,00</w:t>
            </w:r>
          </w:p>
        </w:tc>
      </w:tr>
    </w:tbl>
    <w:p w14:paraId="25D009D0" w14:textId="77777777" w:rsidR="00641645" w:rsidRPr="00641645" w:rsidRDefault="00641645" w:rsidP="00641645">
      <w:pPr>
        <w:widowControl w:val="0"/>
        <w:autoSpaceDN/>
        <w:spacing w:before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550.549,00 €, kako slijedi: </w:t>
      </w:r>
    </w:p>
    <w:p w14:paraId="39152A2F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22.000,00 € Katoličkoj osnovnoj školi u Požegi </w:t>
      </w:r>
    </w:p>
    <w:p w14:paraId="7C001AB2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2B0D25C3" w14:textId="77777777" w:rsidR="00641645" w:rsidRPr="00641645" w:rsidRDefault="00641645" w:rsidP="00641645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428.790,00 €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641645" w:rsidRPr="00641645" w14:paraId="0D4F8A18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708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E9CF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827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6141787B" w14:textId="77777777" w:rsidTr="00B0593E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1734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0BD0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CB2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6C07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22.000,00</w:t>
            </w:r>
          </w:p>
        </w:tc>
      </w:tr>
      <w:tr w:rsidR="00641645" w:rsidRPr="00641645" w14:paraId="070BE393" w14:textId="77777777" w:rsidTr="00B0593E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7E0D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C5D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B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8F0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1E2E21E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644A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D5F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62A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7F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641645" w:rsidRPr="00641645" w14:paraId="69C1CA59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7480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F55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06BB82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28BEA3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D9AF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DAA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113.790,00</w:t>
            </w:r>
          </w:p>
        </w:tc>
      </w:tr>
      <w:tr w:rsidR="00641645" w:rsidRPr="00641645" w14:paraId="42DB9AB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9F2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9F1BD4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75C8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61A4A98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0508E37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CE8E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E94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120.000,00</w:t>
            </w:r>
          </w:p>
        </w:tc>
      </w:tr>
      <w:tr w:rsidR="00641645" w:rsidRPr="00641645" w14:paraId="0CCA1867" w14:textId="77777777" w:rsidTr="00B0593E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B1D1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ANTUNA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9026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 xml:space="preserve">-rad nastavnika u produženom boravku i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pomoćnika u nastavi</w:t>
            </w:r>
          </w:p>
          <w:p w14:paraId="644E290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5888B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E77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2292BF9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D7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195.000,00</w:t>
            </w:r>
          </w:p>
        </w:tc>
      </w:tr>
      <w:tr w:rsidR="00641645" w:rsidRPr="00641645" w14:paraId="2F91166A" w14:textId="77777777" w:rsidTr="00B0593E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E29D" w14:textId="77777777" w:rsidR="00641645" w:rsidRPr="00641645" w:rsidRDefault="00641645" w:rsidP="00641645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678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550.549,00</w:t>
            </w:r>
          </w:p>
        </w:tc>
      </w:tr>
    </w:tbl>
    <w:p w14:paraId="6C15AEF5" w14:textId="77777777" w:rsidR="00641645" w:rsidRPr="00641645" w:rsidRDefault="00641645" w:rsidP="00641645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5.286.140,00 €.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641645" w:rsidRPr="00641645" w14:paraId="58B8340D" w14:textId="77777777" w:rsidTr="00B0593E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CDAA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FB28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884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BE21D6F" w14:textId="77777777" w:rsidTr="00B0593E">
        <w:trPr>
          <w:trHeight w:val="397"/>
          <w:jc w:val="center"/>
        </w:trPr>
        <w:tc>
          <w:tcPr>
            <w:tcW w:w="2411" w:type="dxa"/>
          </w:tcPr>
          <w:p w14:paraId="2DB1BC0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1687223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5937C735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1.615.580,00</w:t>
            </w:r>
          </w:p>
        </w:tc>
      </w:tr>
      <w:tr w:rsidR="00641645" w:rsidRPr="00641645" w14:paraId="235E729B" w14:textId="77777777" w:rsidTr="00B0593E">
        <w:trPr>
          <w:trHeight w:val="397"/>
          <w:jc w:val="center"/>
        </w:trPr>
        <w:tc>
          <w:tcPr>
            <w:tcW w:w="2411" w:type="dxa"/>
          </w:tcPr>
          <w:p w14:paraId="3C901BB8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7F842700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BD91DF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1.839.860,00</w:t>
            </w:r>
          </w:p>
        </w:tc>
      </w:tr>
      <w:tr w:rsidR="00641645" w:rsidRPr="00641645" w14:paraId="610B7050" w14:textId="77777777" w:rsidTr="00B0593E">
        <w:trPr>
          <w:trHeight w:val="397"/>
          <w:jc w:val="center"/>
        </w:trPr>
        <w:tc>
          <w:tcPr>
            <w:tcW w:w="2411" w:type="dxa"/>
          </w:tcPr>
          <w:p w14:paraId="795F6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5BD1138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7EE63851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1.830.700,00</w:t>
            </w:r>
          </w:p>
        </w:tc>
      </w:tr>
      <w:tr w:rsidR="00641645" w:rsidRPr="00641645" w14:paraId="33AC1F21" w14:textId="77777777" w:rsidTr="00B0593E">
        <w:trPr>
          <w:trHeight w:val="397"/>
          <w:jc w:val="center"/>
        </w:trPr>
        <w:tc>
          <w:tcPr>
            <w:tcW w:w="7655" w:type="dxa"/>
            <w:gridSpan w:val="2"/>
            <w:vAlign w:val="center"/>
          </w:tcPr>
          <w:p w14:paraId="0EE094B1" w14:textId="77777777" w:rsidR="00641645" w:rsidRPr="00641645" w:rsidRDefault="00641645" w:rsidP="00641645">
            <w:pPr>
              <w:widowControl w:val="0"/>
              <w:autoSpaceDN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  <w:vAlign w:val="center"/>
          </w:tcPr>
          <w:p w14:paraId="58B50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5.286.140,00</w:t>
            </w:r>
          </w:p>
        </w:tc>
      </w:tr>
    </w:tbl>
    <w:p w14:paraId="6D32FB6B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STIPENDIJE I ŠKOLARINE</w:t>
      </w:r>
    </w:p>
    <w:p w14:paraId="57E42E2F" w14:textId="77777777" w:rsidR="00641645" w:rsidRPr="00641645" w:rsidRDefault="00641645" w:rsidP="00641645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67CC93B8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Stipendije i školarine financirat će se u iznosu od 151.000,00 €.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641645" w:rsidRPr="00641645" w14:paraId="76A22A4F" w14:textId="77777777" w:rsidTr="00B0593E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E1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73B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B5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647FC87" w14:textId="77777777" w:rsidTr="00B0593E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09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63A6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4AABFFB9" w14:textId="77777777" w:rsidR="00641645" w:rsidRPr="00641645" w:rsidRDefault="00641645" w:rsidP="00641645">
            <w:pPr>
              <w:widowControl w:val="0"/>
              <w:autoSpaceDN/>
              <w:ind w:right="-212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437E48C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BB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B40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151.000,00</w:t>
            </w:r>
          </w:p>
        </w:tc>
      </w:tr>
    </w:tbl>
    <w:p w14:paraId="62AF94BE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641645" w:rsidRPr="00641645" w14:paraId="66E94B6D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24B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FB60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2F2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52147A89" w14:textId="77777777" w:rsidTr="00B0593E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F8764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C54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B06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63750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984AE0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641645" w:rsidRPr="00641645" w14:paraId="17CD17B6" w14:textId="77777777" w:rsidTr="00B0593E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DC4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BBF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9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9B8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2ECB8CE9" w14:textId="443E25BF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EE3DC03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A5A7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NAZIV KORISNIKA/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DDCC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A4B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6957C0E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C446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5858B76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972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9D9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66908BAD" w14:textId="77777777" w:rsidR="00641645" w:rsidRPr="00641645" w:rsidRDefault="00641645" w:rsidP="00641645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B6F1F5A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4E4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D3B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C57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063B9D1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2C2E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A72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71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38067A6F" w14:textId="77777777" w:rsidR="00641645" w:rsidRPr="00641645" w:rsidRDefault="00641645" w:rsidP="00641645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3.</w:t>
      </w:r>
    </w:p>
    <w:p w14:paraId="6B93D08F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20B4EECB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5839AA80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374ED8A7" w14:textId="77777777" w:rsidR="00641645" w:rsidRPr="00641645" w:rsidRDefault="00641645" w:rsidP="00641645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6DA449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5E85A74C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Ovaj će se Program objaviti u Službenim novinama Grada Požege, a primjenjuje se od 1. siječnja 2024. godine.</w:t>
      </w:r>
    </w:p>
    <w:p w14:paraId="486FFE07" w14:textId="77777777" w:rsidR="00641645" w:rsidRPr="00641645" w:rsidRDefault="00641645" w:rsidP="00641645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0B713035" w14:textId="77777777" w:rsidR="00641645" w:rsidRPr="00641645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PREDSJEDNIK</w:t>
      </w:r>
    </w:p>
    <w:p w14:paraId="5E99D83E" w14:textId="50CC6744" w:rsidR="00641645" w:rsidRPr="00641645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 xml:space="preserve">Matej Begić, dipl.ing.šum., v.r. </w:t>
      </w:r>
      <w:bookmarkEnd w:id="11"/>
      <w:bookmarkEnd w:id="12"/>
    </w:p>
    <w:sectPr w:rsidR="00641645" w:rsidRPr="00641645" w:rsidSect="006B6C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3FE1" w14:textId="77777777" w:rsidR="00C962AC" w:rsidRDefault="00C962AC" w:rsidP="0040199B">
      <w:r>
        <w:separator/>
      </w:r>
    </w:p>
  </w:endnote>
  <w:endnote w:type="continuationSeparator" w:id="0">
    <w:p w14:paraId="28F8AC4A" w14:textId="77777777" w:rsidR="00C962AC" w:rsidRDefault="00C962AC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942603"/>
      <w:docPartObj>
        <w:docPartGallery w:val="Page Numbers (Bottom of Page)"/>
        <w:docPartUnique/>
      </w:docPartObj>
    </w:sdtPr>
    <w:sdtContent>
      <w:p w14:paraId="641D4085" w14:textId="34ECA69B" w:rsidR="00B0593E" w:rsidRDefault="00AF670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5230B1" wp14:editId="627DAE1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214342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8189553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29AF0" w14:textId="77777777" w:rsidR="00AF6702" w:rsidRPr="00AF6702" w:rsidRDefault="00AF670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AF670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AF670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AF6702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AF670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AF6702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287679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17803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847506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5230B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3sMo1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" filled="f" stroked="f">
                    <v:textbox inset="0,0,0,0">
                      <w:txbxContent>
                        <w:p w14:paraId="6B229AF0" w14:textId="77777777" w:rsidR="00AF6702" w:rsidRPr="00AF6702" w:rsidRDefault="00AF670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AF670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F670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AF6702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AF670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AF6702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1387" w14:textId="77777777" w:rsidR="00C962AC" w:rsidRDefault="00C962AC" w:rsidP="0040199B">
      <w:r>
        <w:separator/>
      </w:r>
    </w:p>
  </w:footnote>
  <w:footnote w:type="continuationSeparator" w:id="0">
    <w:p w14:paraId="1FF717BC" w14:textId="77777777" w:rsidR="00C962AC" w:rsidRDefault="00C962AC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4FF" w14:textId="7389FD44" w:rsidR="00B0593E" w:rsidRPr="00EC3E78" w:rsidRDefault="00AF6702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52662393"/>
    <w:bookmarkStart w:id="14" w:name="_Hlk135287041"/>
    <w:r w:rsidRPr="00AF6702">
      <w:rPr>
        <w:rFonts w:ascii="Calibri" w:hAnsi="Calibri" w:cs="Calibri"/>
        <w:b w:val="0"/>
        <w:sz w:val="20"/>
        <w:u w:val="single"/>
      </w:rPr>
      <w:t>28. sjednica Gradskog vijeća</w:t>
    </w:r>
    <w:r w:rsidRPr="00AF6702">
      <w:rPr>
        <w:rFonts w:ascii="Calibri" w:hAnsi="Calibri" w:cs="Calibri"/>
        <w:b w:val="0"/>
        <w:sz w:val="20"/>
        <w:u w:val="single"/>
      </w:rPr>
      <w:tab/>
    </w:r>
    <w:r w:rsidRPr="00AF6702">
      <w:rPr>
        <w:rFonts w:ascii="Calibri" w:hAnsi="Calibri" w:cs="Calibri"/>
        <w:b w:val="0"/>
        <w:sz w:val="20"/>
        <w:u w:val="single"/>
      </w:rPr>
      <w:tab/>
      <w:t>svibanj 2024.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9858436">
    <w:abstractNumId w:val="1"/>
  </w:num>
  <w:num w:numId="2" w16cid:durableId="550381366">
    <w:abstractNumId w:val="0"/>
  </w:num>
  <w:num w:numId="3" w16cid:durableId="1036388959">
    <w:abstractNumId w:val="2"/>
  </w:num>
  <w:num w:numId="4" w16cid:durableId="20356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4D38"/>
    <w:rsid w:val="000301E5"/>
    <w:rsid w:val="00036508"/>
    <w:rsid w:val="000437AA"/>
    <w:rsid w:val="00055F23"/>
    <w:rsid w:val="00061076"/>
    <w:rsid w:val="00065D11"/>
    <w:rsid w:val="000729F6"/>
    <w:rsid w:val="00074122"/>
    <w:rsid w:val="00083CC9"/>
    <w:rsid w:val="000950D7"/>
    <w:rsid w:val="000B62AC"/>
    <w:rsid w:val="000C1ABF"/>
    <w:rsid w:val="000C632D"/>
    <w:rsid w:val="00100C3F"/>
    <w:rsid w:val="00104431"/>
    <w:rsid w:val="00123647"/>
    <w:rsid w:val="00134835"/>
    <w:rsid w:val="001405BF"/>
    <w:rsid w:val="001441AA"/>
    <w:rsid w:val="001533BE"/>
    <w:rsid w:val="00160ED8"/>
    <w:rsid w:val="00173D22"/>
    <w:rsid w:val="001B672C"/>
    <w:rsid w:val="001B6746"/>
    <w:rsid w:val="001C3A49"/>
    <w:rsid w:val="001E651F"/>
    <w:rsid w:val="001F52B7"/>
    <w:rsid w:val="00201C95"/>
    <w:rsid w:val="00202817"/>
    <w:rsid w:val="00224AE0"/>
    <w:rsid w:val="0024621E"/>
    <w:rsid w:val="002723F6"/>
    <w:rsid w:val="00275E07"/>
    <w:rsid w:val="002F2174"/>
    <w:rsid w:val="0030433A"/>
    <w:rsid w:val="00350E96"/>
    <w:rsid w:val="003630A6"/>
    <w:rsid w:val="00374736"/>
    <w:rsid w:val="003811AC"/>
    <w:rsid w:val="00393A23"/>
    <w:rsid w:val="0039610F"/>
    <w:rsid w:val="003A74B9"/>
    <w:rsid w:val="003B0C1A"/>
    <w:rsid w:val="003B389F"/>
    <w:rsid w:val="003B630E"/>
    <w:rsid w:val="003B7A49"/>
    <w:rsid w:val="003D2516"/>
    <w:rsid w:val="003F5682"/>
    <w:rsid w:val="003F7BFC"/>
    <w:rsid w:val="0040199B"/>
    <w:rsid w:val="00406147"/>
    <w:rsid w:val="00472BD8"/>
    <w:rsid w:val="004769C9"/>
    <w:rsid w:val="0047701E"/>
    <w:rsid w:val="00490638"/>
    <w:rsid w:val="0049681D"/>
    <w:rsid w:val="004B3901"/>
    <w:rsid w:val="004C721E"/>
    <w:rsid w:val="004E5451"/>
    <w:rsid w:val="004E6D99"/>
    <w:rsid w:val="004E7F0F"/>
    <w:rsid w:val="00501044"/>
    <w:rsid w:val="00533CA1"/>
    <w:rsid w:val="005A34A8"/>
    <w:rsid w:val="005A5B5D"/>
    <w:rsid w:val="005B5A81"/>
    <w:rsid w:val="005C0EB2"/>
    <w:rsid w:val="005C1E8C"/>
    <w:rsid w:val="005E1DB9"/>
    <w:rsid w:val="005E31CF"/>
    <w:rsid w:val="005F3676"/>
    <w:rsid w:val="00613AAB"/>
    <w:rsid w:val="00625C79"/>
    <w:rsid w:val="00626319"/>
    <w:rsid w:val="00633E59"/>
    <w:rsid w:val="00641645"/>
    <w:rsid w:val="006629C2"/>
    <w:rsid w:val="00674D40"/>
    <w:rsid w:val="006758B4"/>
    <w:rsid w:val="0068242B"/>
    <w:rsid w:val="00694D71"/>
    <w:rsid w:val="00696B77"/>
    <w:rsid w:val="00697F36"/>
    <w:rsid w:val="006A58ED"/>
    <w:rsid w:val="006A7E03"/>
    <w:rsid w:val="006B1BBB"/>
    <w:rsid w:val="006B6C2D"/>
    <w:rsid w:val="006C3B04"/>
    <w:rsid w:val="006F14AA"/>
    <w:rsid w:val="006F22C2"/>
    <w:rsid w:val="007015E2"/>
    <w:rsid w:val="0070208A"/>
    <w:rsid w:val="007061F4"/>
    <w:rsid w:val="00712FC1"/>
    <w:rsid w:val="00717C96"/>
    <w:rsid w:val="00734475"/>
    <w:rsid w:val="0075766E"/>
    <w:rsid w:val="00775BE6"/>
    <w:rsid w:val="007A2018"/>
    <w:rsid w:val="007B0C39"/>
    <w:rsid w:val="007E3978"/>
    <w:rsid w:val="007F2E65"/>
    <w:rsid w:val="007F53C7"/>
    <w:rsid w:val="00804FB7"/>
    <w:rsid w:val="0080607A"/>
    <w:rsid w:val="0081185D"/>
    <w:rsid w:val="00824521"/>
    <w:rsid w:val="00825073"/>
    <w:rsid w:val="0083674A"/>
    <w:rsid w:val="00860E4E"/>
    <w:rsid w:val="008A3BF5"/>
    <w:rsid w:val="008A58B5"/>
    <w:rsid w:val="008B7A2D"/>
    <w:rsid w:val="00902C30"/>
    <w:rsid w:val="009263BA"/>
    <w:rsid w:val="00931E9B"/>
    <w:rsid w:val="00943378"/>
    <w:rsid w:val="00951F61"/>
    <w:rsid w:val="00982D0C"/>
    <w:rsid w:val="009909C9"/>
    <w:rsid w:val="00990DC7"/>
    <w:rsid w:val="00991575"/>
    <w:rsid w:val="009948C0"/>
    <w:rsid w:val="009A2ED1"/>
    <w:rsid w:val="009A3471"/>
    <w:rsid w:val="009A3955"/>
    <w:rsid w:val="009E562C"/>
    <w:rsid w:val="009F7113"/>
    <w:rsid w:val="00A02985"/>
    <w:rsid w:val="00A25426"/>
    <w:rsid w:val="00A320F2"/>
    <w:rsid w:val="00A71B53"/>
    <w:rsid w:val="00A97CB3"/>
    <w:rsid w:val="00AA3CB0"/>
    <w:rsid w:val="00AD109A"/>
    <w:rsid w:val="00AD528F"/>
    <w:rsid w:val="00AE1E54"/>
    <w:rsid w:val="00AF616D"/>
    <w:rsid w:val="00AF6702"/>
    <w:rsid w:val="00B04814"/>
    <w:rsid w:val="00B0593E"/>
    <w:rsid w:val="00B14182"/>
    <w:rsid w:val="00B36F03"/>
    <w:rsid w:val="00B65DC8"/>
    <w:rsid w:val="00B7258B"/>
    <w:rsid w:val="00B97A02"/>
    <w:rsid w:val="00BA10B2"/>
    <w:rsid w:val="00BA40C0"/>
    <w:rsid w:val="00BB28C0"/>
    <w:rsid w:val="00BE4CDB"/>
    <w:rsid w:val="00C16BDF"/>
    <w:rsid w:val="00C34054"/>
    <w:rsid w:val="00C41211"/>
    <w:rsid w:val="00C4121C"/>
    <w:rsid w:val="00C819C2"/>
    <w:rsid w:val="00C841A0"/>
    <w:rsid w:val="00C93F23"/>
    <w:rsid w:val="00C962AC"/>
    <w:rsid w:val="00CA2549"/>
    <w:rsid w:val="00CB03C9"/>
    <w:rsid w:val="00CB2CFB"/>
    <w:rsid w:val="00CB6D29"/>
    <w:rsid w:val="00CB7CBD"/>
    <w:rsid w:val="00CC034C"/>
    <w:rsid w:val="00CE48EB"/>
    <w:rsid w:val="00CF4332"/>
    <w:rsid w:val="00CF722D"/>
    <w:rsid w:val="00D03E24"/>
    <w:rsid w:val="00D17353"/>
    <w:rsid w:val="00D46D76"/>
    <w:rsid w:val="00D934A9"/>
    <w:rsid w:val="00D966FD"/>
    <w:rsid w:val="00DC584F"/>
    <w:rsid w:val="00DC7620"/>
    <w:rsid w:val="00DD524A"/>
    <w:rsid w:val="00DD6382"/>
    <w:rsid w:val="00DF06B9"/>
    <w:rsid w:val="00E2258C"/>
    <w:rsid w:val="00E27A5D"/>
    <w:rsid w:val="00E41961"/>
    <w:rsid w:val="00E43F38"/>
    <w:rsid w:val="00EA29E0"/>
    <w:rsid w:val="00EC2E23"/>
    <w:rsid w:val="00EC3E78"/>
    <w:rsid w:val="00ED7111"/>
    <w:rsid w:val="00EE0E7B"/>
    <w:rsid w:val="00EE1B88"/>
    <w:rsid w:val="00EE2DC4"/>
    <w:rsid w:val="00EF08BE"/>
    <w:rsid w:val="00EF28AE"/>
    <w:rsid w:val="00F44DB4"/>
    <w:rsid w:val="00F46149"/>
    <w:rsid w:val="00F60B6E"/>
    <w:rsid w:val="00F9206A"/>
    <w:rsid w:val="00F9787B"/>
    <w:rsid w:val="00FB5A25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64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1E04-0818-496F-9359-61004E5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4</cp:revision>
  <cp:lastPrinted>2023-12-05T07:38:00Z</cp:lastPrinted>
  <dcterms:created xsi:type="dcterms:W3CDTF">2024-05-20T06:56:00Z</dcterms:created>
  <dcterms:modified xsi:type="dcterms:W3CDTF">2024-05-20T08:10:00Z</dcterms:modified>
</cp:coreProperties>
</file>